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B8E15" w14:textId="4B7A6A32" w:rsidR="003776CD" w:rsidRPr="003776CD" w:rsidRDefault="003776CD" w:rsidP="003776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3776CD">
        <w:rPr>
          <w:rFonts w:ascii="Arial" w:eastAsia="SimSun" w:hAnsi="Arial" w:cs="Times New Roman"/>
          <w:b/>
          <w:bCs/>
          <w:sz w:val="24"/>
          <w:szCs w:val="20"/>
          <w:lang w:val="en-GB"/>
        </w:rPr>
        <w:t xml:space="preserve">3GPP TSG-RAN WG4 Meeting#98-e                </w:t>
      </w:r>
      <w:r w:rsidRPr="003776CD">
        <w:rPr>
          <w:rFonts w:ascii="Arial" w:eastAsia="SimSun" w:hAnsi="Arial" w:cs="Times New Roman"/>
          <w:b/>
          <w:bCs/>
          <w:sz w:val="24"/>
          <w:szCs w:val="20"/>
          <w:lang w:val="en-GB"/>
        </w:rPr>
        <w:tab/>
      </w:r>
      <w:r>
        <w:rPr>
          <w:rFonts w:ascii="Arial" w:eastAsia="SimSun" w:hAnsi="Arial" w:cs="Times New Roman"/>
          <w:b/>
          <w:bCs/>
          <w:sz w:val="24"/>
          <w:szCs w:val="20"/>
          <w:lang w:val="en-GB"/>
        </w:rPr>
        <w:tab/>
      </w:r>
      <w:r>
        <w:rPr>
          <w:rFonts w:ascii="Arial" w:eastAsia="SimSun" w:hAnsi="Arial" w:cs="Times New Roman"/>
          <w:b/>
          <w:bCs/>
          <w:sz w:val="24"/>
          <w:szCs w:val="20"/>
          <w:lang w:val="en-GB"/>
        </w:rPr>
        <w:tab/>
      </w:r>
      <w:r>
        <w:rPr>
          <w:rFonts w:ascii="Arial" w:eastAsia="SimSun" w:hAnsi="Arial" w:cs="Times New Roman"/>
          <w:b/>
          <w:bCs/>
          <w:sz w:val="24"/>
          <w:szCs w:val="20"/>
          <w:lang w:val="en-GB"/>
        </w:rPr>
        <w:tab/>
      </w:r>
      <w:r w:rsidR="00B23AF9" w:rsidRPr="00B23AF9">
        <w:rPr>
          <w:rFonts w:ascii="Arial" w:eastAsia="SimSun" w:hAnsi="Arial" w:cs="Times New Roman"/>
          <w:b/>
          <w:bCs/>
          <w:sz w:val="24"/>
          <w:szCs w:val="20"/>
          <w:lang w:val="en-GB"/>
        </w:rPr>
        <w:t>R4-2102093</w:t>
      </w:r>
    </w:p>
    <w:p w14:paraId="6515563C" w14:textId="3567E5CF" w:rsidR="00841BCD" w:rsidRDefault="003776CD" w:rsidP="003776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3776CD">
        <w:rPr>
          <w:rFonts w:ascii="Arial" w:eastAsia="SimSun" w:hAnsi="Arial" w:cs="Times New Roman"/>
          <w:b/>
          <w:bCs/>
          <w:sz w:val="24"/>
          <w:szCs w:val="20"/>
          <w:lang w:val="en-GB"/>
        </w:rPr>
        <w:t>E-meeting, Jan 25th – Feb 5th, 2021</w:t>
      </w:r>
    </w:p>
    <w:p w14:paraId="6DE80C70" w14:textId="77777777" w:rsidR="003776CD" w:rsidRPr="00841BCD" w:rsidRDefault="003776CD" w:rsidP="003776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CC4F0A5" w:rsidR="00841BCD" w:rsidRPr="003776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776CD" w:rsidRPr="003776CD">
        <w:rPr>
          <w:rFonts w:ascii="Arial" w:eastAsia="Calibri" w:hAnsi="Arial" w:cs="Arial"/>
          <w:b/>
          <w:bCs/>
          <w:sz w:val="24"/>
          <w:lang w:val="en-GB"/>
        </w:rPr>
        <w:t>Simulation results for HST in FR2</w:t>
      </w:r>
    </w:p>
    <w:p w14:paraId="53921647" w14:textId="0C9D4456" w:rsidR="00841BCD" w:rsidRPr="003776CD" w:rsidRDefault="00841BCD" w:rsidP="00841BCD">
      <w:pPr>
        <w:tabs>
          <w:tab w:val="left" w:pos="1985"/>
        </w:tabs>
        <w:spacing w:after="120" w:line="240" w:lineRule="auto"/>
        <w:rPr>
          <w:rFonts w:ascii="Arial" w:eastAsia="MS Mincho" w:hAnsi="Arial" w:cs="Arial"/>
          <w:b/>
          <w:bCs/>
          <w:sz w:val="24"/>
          <w:szCs w:val="20"/>
          <w:lang w:val="en-GB"/>
        </w:rPr>
      </w:pPr>
      <w:r w:rsidRPr="003776CD">
        <w:rPr>
          <w:rFonts w:ascii="Arial" w:eastAsia="MS Mincho" w:hAnsi="Arial" w:cs="Arial"/>
          <w:b/>
          <w:bCs/>
          <w:sz w:val="24"/>
          <w:szCs w:val="20"/>
          <w:lang w:val="en-GB"/>
        </w:rPr>
        <w:t>Agenda item:</w:t>
      </w:r>
      <w:r w:rsidRPr="003776CD">
        <w:rPr>
          <w:rFonts w:ascii="Arial" w:eastAsia="MS Mincho" w:hAnsi="Arial" w:cs="Arial"/>
          <w:b/>
          <w:bCs/>
          <w:sz w:val="24"/>
          <w:szCs w:val="20"/>
          <w:lang w:val="en-GB"/>
        </w:rPr>
        <w:tab/>
      </w:r>
      <w:r w:rsidR="003776CD" w:rsidRPr="003776CD">
        <w:rPr>
          <w:rFonts w:ascii="Arial" w:eastAsia="MS Mincho" w:hAnsi="Arial" w:cs="Arial"/>
          <w:b/>
          <w:bCs/>
          <w:sz w:val="24"/>
          <w:szCs w:val="20"/>
          <w:lang w:val="en-GB"/>
        </w:rPr>
        <w:t>11.7.2</w:t>
      </w:r>
    </w:p>
    <w:p w14:paraId="266D763D" w14:textId="77777777" w:rsidR="00841BCD" w:rsidRPr="00841BCD" w:rsidRDefault="00841BCD" w:rsidP="00841BCD">
      <w:pPr>
        <w:tabs>
          <w:tab w:val="left" w:pos="1985"/>
        </w:tabs>
        <w:rPr>
          <w:rFonts w:ascii="Arial" w:eastAsia="Calibri" w:hAnsi="Arial" w:cs="Arial"/>
          <w:b/>
          <w:bCs/>
          <w:sz w:val="24"/>
          <w:lang w:val="en-GB"/>
        </w:rPr>
      </w:pPr>
      <w:r w:rsidRPr="003776CD">
        <w:rPr>
          <w:rFonts w:ascii="Arial" w:eastAsia="Calibri" w:hAnsi="Arial" w:cs="Arial"/>
          <w:b/>
          <w:bCs/>
          <w:sz w:val="24"/>
          <w:lang w:val="en-GB"/>
        </w:rPr>
        <w:t>Document for:</w:t>
      </w:r>
      <w:r w:rsidRPr="003776CD">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34937BB" w14:textId="6E31769D" w:rsidR="005433E0" w:rsidRDefault="003776CD" w:rsidP="00841BCD">
      <w:pPr>
        <w:ind w:right="-22"/>
        <w:rPr>
          <w:rFonts w:eastAsia="Calibri" w:cs="Times New Roman"/>
          <w:szCs w:val="20"/>
          <w:lang w:val="en-GB"/>
        </w:rPr>
      </w:pPr>
      <w:r>
        <w:rPr>
          <w:rFonts w:eastAsia="Calibri" w:cs="Times New Roman"/>
          <w:szCs w:val="20"/>
          <w:lang w:val="en-GB"/>
        </w:rPr>
        <w:t>In this contribution</w:t>
      </w:r>
      <w:r w:rsidR="003858A2">
        <w:rPr>
          <w:rFonts w:eastAsia="Calibri" w:cs="Times New Roman"/>
          <w:szCs w:val="20"/>
        </w:rPr>
        <w:t>,</w:t>
      </w:r>
      <w:r>
        <w:rPr>
          <w:rFonts w:eastAsia="Calibri" w:cs="Times New Roman"/>
          <w:szCs w:val="20"/>
          <w:lang w:val="en-GB"/>
        </w:rPr>
        <w:t xml:space="preserve"> we provide</w:t>
      </w:r>
      <w:r w:rsidR="00147FE2">
        <w:rPr>
          <w:rFonts w:eastAsia="Calibri" w:cs="Times New Roman"/>
          <w:szCs w:val="20"/>
        </w:rPr>
        <w:t xml:space="preserve"> initial system-level</w:t>
      </w:r>
      <w:r>
        <w:rPr>
          <w:rFonts w:eastAsia="Calibri" w:cs="Times New Roman"/>
          <w:szCs w:val="20"/>
          <w:lang w:val="en-GB"/>
        </w:rPr>
        <w:t xml:space="preserve"> simulation results related to the work item in </w:t>
      </w:r>
      <w:r w:rsidRPr="003776CD">
        <w:rPr>
          <w:rFonts w:eastAsia="Calibri" w:cs="Times New Roman"/>
          <w:szCs w:val="20"/>
          <w:lang w:val="en-GB"/>
        </w:rPr>
        <w:t>NR support for high</w:t>
      </w:r>
      <w:r w:rsidR="00F42A91">
        <w:rPr>
          <w:rFonts w:eastAsia="Calibri" w:cs="Times New Roman"/>
          <w:szCs w:val="20"/>
          <w:lang w:val="en-GB"/>
        </w:rPr>
        <w:t>-</w:t>
      </w:r>
      <w:r w:rsidRPr="003776CD">
        <w:rPr>
          <w:rFonts w:eastAsia="Calibri" w:cs="Times New Roman"/>
          <w:szCs w:val="20"/>
          <w:lang w:val="en-GB"/>
        </w:rPr>
        <w:t>speed train scenario in FR2</w:t>
      </w:r>
      <w:r>
        <w:rPr>
          <w:rFonts w:eastAsia="Calibri" w:cs="Times New Roman"/>
          <w:szCs w:val="20"/>
          <w:lang w:val="en-GB"/>
        </w:rPr>
        <w:t>.</w:t>
      </w:r>
    </w:p>
    <w:p w14:paraId="27AE8BAF" w14:textId="77777777" w:rsidR="005B6717" w:rsidRPr="000132EC" w:rsidRDefault="005B6717" w:rsidP="00841BCD">
      <w:pPr>
        <w:ind w:right="-22"/>
        <w:rPr>
          <w:rFonts w:eastAsia="Calibri" w:cs="Times New Roman"/>
          <w:szCs w:val="20"/>
          <w:lang w:val="en-GB"/>
        </w:rPr>
      </w:pPr>
    </w:p>
    <w:p w14:paraId="2FF6A72B" w14:textId="5E2A6B46" w:rsidR="003B659E" w:rsidRDefault="003776CD" w:rsidP="00AE56B1">
      <w:pPr>
        <w:pStyle w:val="RAN4H1"/>
      </w:pPr>
      <w:r>
        <w:t>Simulation assumptions</w:t>
      </w:r>
    </w:p>
    <w:p w14:paraId="1C6231ED" w14:textId="7FFD9B6F" w:rsidR="002161DD" w:rsidRDefault="002161DD" w:rsidP="002161DD">
      <w:r>
        <w:rPr>
          <w:lang w:val="en-GB"/>
        </w:rPr>
        <w:t xml:space="preserve">In the initial simulations we have used two different options for HST deployment </w:t>
      </w:r>
      <w:r w:rsidR="00A22185">
        <w:rPr>
          <w:lang w:val="en-GB"/>
        </w:rPr>
        <w:t>inter-site distances</w:t>
      </w:r>
      <w:r>
        <w:rPr>
          <w:lang w:val="en-GB"/>
        </w:rPr>
        <w:t>, 300 and 650 meters.</w:t>
      </w:r>
      <w:r w:rsidR="001E7C01">
        <w:rPr>
          <w:lang w:val="en-GB"/>
        </w:rPr>
        <w:t xml:space="preserve"> In both settings all different RRH site locations </w:t>
      </w:r>
      <w:r w:rsidR="005B6717">
        <w:rPr>
          <w:lang w:val="en-150"/>
        </w:rPr>
        <w:t>had</w:t>
      </w:r>
      <w:r w:rsidR="001E7C01">
        <w:rPr>
          <w:lang w:val="en-GB"/>
        </w:rPr>
        <w:t xml:space="preserve"> separate </w:t>
      </w:r>
      <w:proofErr w:type="spellStart"/>
      <w:r w:rsidR="001E7C01">
        <w:rPr>
          <w:lang w:val="en-GB"/>
        </w:rPr>
        <w:t>gNBs</w:t>
      </w:r>
      <w:proofErr w:type="spellEnd"/>
      <w:r w:rsidR="00AB3C74">
        <w:rPr>
          <w:lang w:val="en-GB"/>
        </w:rPr>
        <w:t xml:space="preserve"> (1 BBU per RRH, RRC based mobility)</w:t>
      </w:r>
      <w:r w:rsidR="001E7C01">
        <w:rPr>
          <w:lang w:val="en-GB"/>
        </w:rPr>
        <w:t xml:space="preserve"> either with </w:t>
      </w:r>
      <w:proofErr w:type="spellStart"/>
      <w:r w:rsidR="001E7C01">
        <w:rPr>
          <w:lang w:val="en-GB"/>
        </w:rPr>
        <w:t>uni</w:t>
      </w:r>
      <w:proofErr w:type="spellEnd"/>
      <w:r w:rsidR="001E7C01">
        <w:rPr>
          <w:lang w:val="en-GB"/>
        </w:rPr>
        <w:t>-or bi-directional RRHs</w:t>
      </w:r>
      <w:r w:rsidR="00FC663C">
        <w:rPr>
          <w:lang w:val="en-GB"/>
        </w:rPr>
        <w:t xml:space="preserve"> with 15 meters height</w:t>
      </w:r>
      <w:r w:rsidR="001E7C01">
        <w:rPr>
          <w:lang w:val="en-GB"/>
        </w:rPr>
        <w:t>.</w:t>
      </w:r>
      <w:r w:rsidR="00FC663C">
        <w:rPr>
          <w:lang w:val="en-GB"/>
        </w:rPr>
        <w:t xml:space="preserve"> The speed of the train was 350 km/h and there was one UE </w:t>
      </w:r>
      <w:r w:rsidR="00F368E2">
        <w:rPr>
          <w:lang w:val="en-GB"/>
        </w:rPr>
        <w:t>(CPE)</w:t>
      </w:r>
      <w:r w:rsidR="00FC663C">
        <w:rPr>
          <w:lang w:val="en-GB"/>
        </w:rPr>
        <w:t xml:space="preserve"> </w:t>
      </w:r>
      <w:r w:rsidR="005B6717">
        <w:rPr>
          <w:lang w:val="en-150"/>
        </w:rPr>
        <w:t>installed</w:t>
      </w:r>
      <w:r w:rsidR="00FC663C">
        <w:rPr>
          <w:lang w:val="en-GB"/>
        </w:rPr>
        <w:t xml:space="preserve"> at the top of the train at 5 meter</w:t>
      </w:r>
      <w:r w:rsidR="0066377B">
        <w:rPr>
          <w:lang w:val="en-GB"/>
        </w:rPr>
        <w:t>s</w:t>
      </w:r>
      <w:r w:rsidR="00FC663C">
        <w:rPr>
          <w:lang w:val="en-GB"/>
        </w:rPr>
        <w:t xml:space="preserve"> height from </w:t>
      </w:r>
      <w:r w:rsidR="005B6717">
        <w:rPr>
          <w:lang w:val="en-150"/>
        </w:rPr>
        <w:t xml:space="preserve">the </w:t>
      </w:r>
      <w:r w:rsidR="00FC663C">
        <w:rPr>
          <w:lang w:val="en-GB"/>
        </w:rPr>
        <w:t>ground.</w:t>
      </w:r>
      <w:r w:rsidR="008B1775">
        <w:rPr>
          <w:lang w:val="en-GB"/>
        </w:rPr>
        <w:t xml:space="preserve"> </w:t>
      </w:r>
      <w:r w:rsidR="006A01F4">
        <w:rPr>
          <w:lang w:val="en-GB"/>
        </w:rPr>
        <w:t xml:space="preserve">Both 1 beam and 2 beams per RRH cases were simulated. </w:t>
      </w:r>
      <w:r w:rsidR="008B1775">
        <w:rPr>
          <w:lang w:val="en-GB"/>
        </w:rPr>
        <w:t xml:space="preserve">The detailed parameter setting can be found from </w:t>
      </w:r>
      <w:r w:rsidR="008B1775">
        <w:t xml:space="preserve">Table </w:t>
      </w:r>
      <w:fldSimple w:instr=" SEQ Table \* ARABIC ">
        <w:r w:rsidR="008B1775">
          <w:rPr>
            <w:noProof/>
          </w:rPr>
          <w:t>1</w:t>
        </w:r>
      </w:fldSimple>
      <w:r w:rsidR="008B1775">
        <w:t>.</w:t>
      </w:r>
    </w:p>
    <w:p w14:paraId="4E26A92D" w14:textId="77777777" w:rsidR="005B6717" w:rsidRPr="002161DD" w:rsidRDefault="005B6717" w:rsidP="002161DD">
      <w:pPr>
        <w:rPr>
          <w:lang w:val="en-GB"/>
        </w:rPr>
      </w:pPr>
    </w:p>
    <w:p w14:paraId="0E7B3DE6" w14:textId="78AD9EC4" w:rsidR="002161DD" w:rsidRDefault="002161DD" w:rsidP="002161DD">
      <w:pPr>
        <w:pStyle w:val="Caption"/>
        <w:keepNext/>
      </w:pPr>
      <w:r>
        <w:t xml:space="preserve">Table </w:t>
      </w:r>
      <w:r>
        <w:fldChar w:fldCharType="begin"/>
      </w:r>
      <w:r>
        <w:instrText>SEQ Table \* ARABIC</w:instrText>
      </w:r>
      <w:r>
        <w:fldChar w:fldCharType="separate"/>
      </w:r>
      <w:r>
        <w:rPr>
          <w:noProof/>
        </w:rPr>
        <w:t>1</w:t>
      </w:r>
      <w:r>
        <w:fldChar w:fldCharType="end"/>
      </w:r>
      <w:r>
        <w:t>: Detailed parameter settings</w:t>
      </w:r>
    </w:p>
    <w:tbl>
      <w:tblPr>
        <w:tblStyle w:val="GridTable1Light"/>
        <w:tblW w:w="0" w:type="auto"/>
        <w:tblCellMar>
          <w:top w:w="57" w:type="dxa"/>
          <w:bottom w:w="57" w:type="dxa"/>
        </w:tblCellMar>
        <w:tblLook w:val="04A0" w:firstRow="1" w:lastRow="0" w:firstColumn="1" w:lastColumn="0" w:noHBand="0" w:noVBand="1"/>
      </w:tblPr>
      <w:tblGrid>
        <w:gridCol w:w="3823"/>
        <w:gridCol w:w="5794"/>
      </w:tblGrid>
      <w:tr w:rsidR="002161DD" w14:paraId="31B3BC3C" w14:textId="77777777" w:rsidTr="003859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67453FB8" w14:textId="39CC5929" w:rsidR="002161DD" w:rsidRPr="00385981" w:rsidRDefault="002161DD" w:rsidP="002161DD">
            <w:pPr>
              <w:rPr>
                <w:sz w:val="22"/>
                <w:szCs w:val="24"/>
                <w:lang w:val="en-GB"/>
              </w:rPr>
            </w:pPr>
            <w:r w:rsidRPr="00385981">
              <w:rPr>
                <w:sz w:val="22"/>
                <w:szCs w:val="24"/>
                <w:lang w:val="en-GB"/>
              </w:rPr>
              <w:t>Simulation parameter</w:t>
            </w:r>
          </w:p>
        </w:tc>
        <w:tc>
          <w:tcPr>
            <w:tcW w:w="5794" w:type="dxa"/>
          </w:tcPr>
          <w:p w14:paraId="66AA6363" w14:textId="3305807D" w:rsidR="002161DD" w:rsidRPr="00385981" w:rsidRDefault="002161DD" w:rsidP="002161DD">
            <w:pPr>
              <w:cnfStyle w:val="100000000000" w:firstRow="1" w:lastRow="0" w:firstColumn="0" w:lastColumn="0" w:oddVBand="0" w:evenVBand="0" w:oddHBand="0" w:evenHBand="0" w:firstRowFirstColumn="0" w:firstRowLastColumn="0" w:lastRowFirstColumn="0" w:lastRowLastColumn="0"/>
              <w:rPr>
                <w:sz w:val="22"/>
                <w:szCs w:val="24"/>
                <w:lang w:val="en-GB"/>
              </w:rPr>
            </w:pPr>
            <w:r w:rsidRPr="00385981">
              <w:rPr>
                <w:sz w:val="22"/>
                <w:szCs w:val="24"/>
                <w:lang w:val="en-GB"/>
              </w:rPr>
              <w:t>Value</w:t>
            </w:r>
          </w:p>
        </w:tc>
      </w:tr>
      <w:tr w:rsidR="002161DD" w14:paraId="7C0C079D"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57491985" w14:textId="4E8CD310" w:rsidR="002161DD" w:rsidRPr="00E7217A" w:rsidRDefault="00FD27AA" w:rsidP="002161DD">
            <w:pPr>
              <w:rPr>
                <w:lang w:val="en-GB"/>
              </w:rPr>
            </w:pPr>
            <w:r w:rsidRPr="00483904">
              <w:rPr>
                <w:lang w:val="en-GB"/>
              </w:rPr>
              <w:t xml:space="preserve">Number of </w:t>
            </w:r>
            <w:r w:rsidR="00A22185" w:rsidRPr="00483904">
              <w:rPr>
                <w:lang w:val="en-GB"/>
              </w:rPr>
              <w:t xml:space="preserve">sites (separate </w:t>
            </w:r>
            <w:proofErr w:type="spellStart"/>
            <w:r w:rsidR="00A22185" w:rsidRPr="00483904">
              <w:rPr>
                <w:lang w:val="en-GB"/>
              </w:rPr>
              <w:t>gNBs</w:t>
            </w:r>
            <w:proofErr w:type="spellEnd"/>
            <w:r w:rsidR="00A22185" w:rsidRPr="00483904">
              <w:rPr>
                <w:lang w:val="en-GB"/>
              </w:rPr>
              <w:t>)</w:t>
            </w:r>
          </w:p>
        </w:tc>
        <w:tc>
          <w:tcPr>
            <w:tcW w:w="5794" w:type="dxa"/>
          </w:tcPr>
          <w:p w14:paraId="2A64E759" w14:textId="4FDA3A75" w:rsidR="002161DD" w:rsidRPr="00A22185" w:rsidRDefault="00FD27AA" w:rsidP="002161DD">
            <w:pPr>
              <w:cnfStyle w:val="000000000000" w:firstRow="0" w:lastRow="0" w:firstColumn="0" w:lastColumn="0" w:oddVBand="0" w:evenVBand="0" w:oddHBand="0" w:evenHBand="0" w:firstRowFirstColumn="0" w:firstRowLastColumn="0" w:lastRowFirstColumn="0" w:lastRowLastColumn="0"/>
              <w:rPr>
                <w:lang w:val="en-GB"/>
              </w:rPr>
            </w:pPr>
            <w:r w:rsidRPr="00A22185">
              <w:rPr>
                <w:lang w:val="en-GB"/>
              </w:rPr>
              <w:t>10</w:t>
            </w:r>
          </w:p>
        </w:tc>
      </w:tr>
      <w:tr w:rsidR="002161DD" w14:paraId="501D3E7C"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748CFA68" w14:textId="4A2027DB" w:rsidR="002161DD" w:rsidRPr="00E7217A" w:rsidRDefault="00A22185" w:rsidP="002161DD">
            <w:pPr>
              <w:rPr>
                <w:lang w:val="en-GB"/>
              </w:rPr>
            </w:pPr>
            <w:r w:rsidRPr="00483904">
              <w:rPr>
                <w:lang w:val="en-GB"/>
              </w:rPr>
              <w:t>Inter-site distance</w:t>
            </w:r>
            <w:r w:rsidR="00FD27AA" w:rsidRPr="00483904">
              <w:rPr>
                <w:lang w:val="en-GB"/>
              </w:rPr>
              <w:t xml:space="preserve"> (</w:t>
            </w:r>
            <w:r w:rsidRPr="00483904">
              <w:rPr>
                <w:lang w:val="en-GB"/>
              </w:rPr>
              <w:t xml:space="preserve">ISD, </w:t>
            </w:r>
            <w:r w:rsidR="00FD27AA" w:rsidRPr="00483904">
              <w:rPr>
                <w:lang w:val="en-GB"/>
              </w:rPr>
              <w:t>D_s)</w:t>
            </w:r>
          </w:p>
        </w:tc>
        <w:tc>
          <w:tcPr>
            <w:tcW w:w="5794" w:type="dxa"/>
          </w:tcPr>
          <w:p w14:paraId="5F6F6908" w14:textId="49AF7B5C" w:rsidR="002161DD" w:rsidRPr="00A22185" w:rsidRDefault="00FD27AA" w:rsidP="002161DD">
            <w:pPr>
              <w:cnfStyle w:val="000000000000" w:firstRow="0" w:lastRow="0" w:firstColumn="0" w:lastColumn="0" w:oddVBand="0" w:evenVBand="0" w:oddHBand="0" w:evenHBand="0" w:firstRowFirstColumn="0" w:firstRowLastColumn="0" w:lastRowFirstColumn="0" w:lastRowLastColumn="0"/>
              <w:rPr>
                <w:lang w:val="en-GB"/>
              </w:rPr>
            </w:pPr>
            <w:r w:rsidRPr="00A22185">
              <w:rPr>
                <w:lang w:val="en-GB"/>
              </w:rPr>
              <w:t>300, 650 m</w:t>
            </w:r>
          </w:p>
        </w:tc>
      </w:tr>
      <w:tr w:rsidR="002161DD" w14:paraId="5AB6AECD"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0CF2E814" w14:textId="5873F767" w:rsidR="002161DD" w:rsidRPr="00E7217A" w:rsidRDefault="00385981" w:rsidP="002161DD">
            <w:pPr>
              <w:rPr>
                <w:lang w:val="en-GB"/>
              </w:rPr>
            </w:pPr>
            <w:r w:rsidRPr="00483904">
              <w:rPr>
                <w:lang w:val="en-GB"/>
              </w:rPr>
              <w:t>RRH</w:t>
            </w:r>
            <w:r w:rsidR="00A22185" w:rsidRPr="00483904">
              <w:rPr>
                <w:lang w:val="en-GB"/>
              </w:rPr>
              <w:t xml:space="preserve"> distance to track (</w:t>
            </w:r>
            <w:proofErr w:type="spellStart"/>
            <w:r w:rsidR="00A22185" w:rsidRPr="00483904">
              <w:rPr>
                <w:lang w:val="en-GB"/>
              </w:rPr>
              <w:t>D_min</w:t>
            </w:r>
            <w:proofErr w:type="spellEnd"/>
            <w:r w:rsidR="00A22185" w:rsidRPr="00483904">
              <w:rPr>
                <w:lang w:val="en-GB"/>
              </w:rPr>
              <w:t>)</w:t>
            </w:r>
          </w:p>
        </w:tc>
        <w:tc>
          <w:tcPr>
            <w:tcW w:w="5794" w:type="dxa"/>
          </w:tcPr>
          <w:p w14:paraId="5DBDF040" w14:textId="5399C7A4" w:rsidR="002161DD" w:rsidRPr="00A22185" w:rsidRDefault="00A22185"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50, 10 m (50 m for ISD 300 m, and 10 m for ISD 650 m)</w:t>
            </w:r>
          </w:p>
        </w:tc>
      </w:tr>
      <w:tr w:rsidR="002161DD" w14:paraId="7F1AAE27"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2D5CC95D" w14:textId="74DB9A8D" w:rsidR="002161DD" w:rsidRPr="00E7217A" w:rsidRDefault="00385981" w:rsidP="002161DD">
            <w:pPr>
              <w:rPr>
                <w:lang w:val="en-GB"/>
              </w:rPr>
            </w:pPr>
            <w:r w:rsidRPr="00483904">
              <w:rPr>
                <w:lang w:val="en-GB"/>
              </w:rPr>
              <w:t>RRH height (</w:t>
            </w:r>
            <w:proofErr w:type="spellStart"/>
            <w:r w:rsidRPr="00483904">
              <w:rPr>
                <w:lang w:val="en-GB"/>
              </w:rPr>
              <w:t>D_RRH_Height</w:t>
            </w:r>
            <w:proofErr w:type="spellEnd"/>
            <w:r w:rsidRPr="00483904">
              <w:rPr>
                <w:lang w:val="en-GB"/>
              </w:rPr>
              <w:t>)</w:t>
            </w:r>
          </w:p>
        </w:tc>
        <w:tc>
          <w:tcPr>
            <w:tcW w:w="5794" w:type="dxa"/>
          </w:tcPr>
          <w:p w14:paraId="5BA5B4EC" w14:textId="5CDE75A7" w:rsidR="002161DD" w:rsidRPr="00A22185" w:rsidRDefault="00385981"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15 m</w:t>
            </w:r>
          </w:p>
        </w:tc>
      </w:tr>
      <w:tr w:rsidR="002161DD" w14:paraId="6B598F7F"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3D980800" w14:textId="38D57C87" w:rsidR="002161DD" w:rsidRPr="00E7217A" w:rsidRDefault="00960EC2" w:rsidP="002161DD">
            <w:pPr>
              <w:rPr>
                <w:lang w:val="en-GB"/>
              </w:rPr>
            </w:pPr>
            <w:r>
              <w:rPr>
                <w:lang w:val="en-GB"/>
              </w:rPr>
              <w:t>CPE</w:t>
            </w:r>
            <w:r w:rsidR="00BD4B10" w:rsidRPr="00483904">
              <w:rPr>
                <w:lang w:val="en-GB"/>
              </w:rPr>
              <w:t xml:space="preserve"> height (</w:t>
            </w:r>
            <w:proofErr w:type="spellStart"/>
            <w:r w:rsidR="00BD4B10" w:rsidRPr="00483904">
              <w:rPr>
                <w:lang w:val="en-GB"/>
              </w:rPr>
              <w:t>D_</w:t>
            </w:r>
            <w:r>
              <w:rPr>
                <w:lang w:val="en-GB"/>
              </w:rPr>
              <w:t>CPE</w:t>
            </w:r>
            <w:r w:rsidR="00BD4B10" w:rsidRPr="00483904">
              <w:rPr>
                <w:lang w:val="en-GB"/>
              </w:rPr>
              <w:t>_Height</w:t>
            </w:r>
            <w:proofErr w:type="spellEnd"/>
            <w:r w:rsidR="00BD4B10" w:rsidRPr="00483904">
              <w:rPr>
                <w:lang w:val="en-GB"/>
              </w:rPr>
              <w:t>)</w:t>
            </w:r>
          </w:p>
        </w:tc>
        <w:tc>
          <w:tcPr>
            <w:tcW w:w="5794" w:type="dxa"/>
          </w:tcPr>
          <w:p w14:paraId="0C77CF54" w14:textId="6443329C" w:rsidR="002161DD" w:rsidRPr="00A22185" w:rsidRDefault="00BD4B10"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5 m</w:t>
            </w:r>
          </w:p>
        </w:tc>
      </w:tr>
      <w:tr w:rsidR="002161DD" w14:paraId="74915E83"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65E2EE00" w14:textId="1EDE3953" w:rsidR="002161DD" w:rsidRPr="00E7217A" w:rsidRDefault="009065BA" w:rsidP="002161DD">
            <w:pPr>
              <w:rPr>
                <w:lang w:val="en-GB"/>
              </w:rPr>
            </w:pPr>
            <w:r w:rsidRPr="00483904">
              <w:rPr>
                <w:lang w:val="en-GB"/>
              </w:rPr>
              <w:t>Carrier frequency</w:t>
            </w:r>
          </w:p>
        </w:tc>
        <w:tc>
          <w:tcPr>
            <w:tcW w:w="5794" w:type="dxa"/>
          </w:tcPr>
          <w:p w14:paraId="4DD1615F" w14:textId="6302D14A" w:rsidR="002161DD" w:rsidRPr="00A22185" w:rsidRDefault="009065BA"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28 GHz</w:t>
            </w:r>
          </w:p>
        </w:tc>
      </w:tr>
      <w:tr w:rsidR="002161DD" w14:paraId="7CBDBA70"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07E3C21A" w14:textId="12E50717" w:rsidR="002161DD" w:rsidRPr="00E7217A" w:rsidRDefault="009065BA" w:rsidP="002161DD">
            <w:pPr>
              <w:rPr>
                <w:lang w:val="en-GB"/>
              </w:rPr>
            </w:pPr>
            <w:r w:rsidRPr="00483904">
              <w:rPr>
                <w:lang w:val="en-GB"/>
              </w:rPr>
              <w:t>Bandwidth</w:t>
            </w:r>
          </w:p>
        </w:tc>
        <w:tc>
          <w:tcPr>
            <w:tcW w:w="5794" w:type="dxa"/>
          </w:tcPr>
          <w:p w14:paraId="479A1252" w14:textId="4D8FB7A0" w:rsidR="002161DD" w:rsidRPr="00A22185" w:rsidRDefault="009065BA"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50 MHz</w:t>
            </w:r>
          </w:p>
        </w:tc>
      </w:tr>
      <w:tr w:rsidR="00DB1318" w14:paraId="1C7B3BAA"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00626A21" w14:textId="253E23B0" w:rsidR="00DB1318" w:rsidRPr="00E7217A" w:rsidRDefault="00DB1318" w:rsidP="002161DD">
            <w:pPr>
              <w:rPr>
                <w:lang w:val="en-GB"/>
              </w:rPr>
            </w:pPr>
            <w:r w:rsidRPr="00483904">
              <w:rPr>
                <w:lang w:val="en-GB"/>
              </w:rPr>
              <w:t>Subcarrier spacing</w:t>
            </w:r>
          </w:p>
        </w:tc>
        <w:tc>
          <w:tcPr>
            <w:tcW w:w="5794" w:type="dxa"/>
          </w:tcPr>
          <w:p w14:paraId="5A8E345A" w14:textId="60BAD2E9" w:rsidR="00DB1318" w:rsidRDefault="00DB1318"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120 </w:t>
            </w:r>
            <w:proofErr w:type="spellStart"/>
            <w:r>
              <w:rPr>
                <w:lang w:val="en-GB"/>
              </w:rPr>
              <w:t>KHz</w:t>
            </w:r>
            <w:proofErr w:type="spellEnd"/>
          </w:p>
        </w:tc>
      </w:tr>
      <w:tr w:rsidR="00AA1F2C" w14:paraId="68D8F180"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1AA381D2" w14:textId="55A3EA05" w:rsidR="00AA1F2C" w:rsidRPr="00E7217A" w:rsidRDefault="00AA1F2C" w:rsidP="002161DD">
            <w:pPr>
              <w:rPr>
                <w:lang w:val="en-GB"/>
              </w:rPr>
            </w:pPr>
            <w:r w:rsidRPr="00483904">
              <w:rPr>
                <w:lang w:val="en-GB"/>
              </w:rPr>
              <w:t>Propagation and channel model</w:t>
            </w:r>
          </w:p>
        </w:tc>
        <w:tc>
          <w:tcPr>
            <w:tcW w:w="5794" w:type="dxa"/>
          </w:tcPr>
          <w:p w14:paraId="0DB80D0A" w14:textId="44BBEA14" w:rsidR="00AA1F2C" w:rsidRDefault="00AA1F2C"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TR 38.901 </w:t>
            </w:r>
            <w:proofErr w:type="spellStart"/>
            <w:r>
              <w:rPr>
                <w:lang w:val="en-GB"/>
              </w:rPr>
              <w:t>UMa</w:t>
            </w:r>
            <w:proofErr w:type="spellEnd"/>
            <w:r>
              <w:rPr>
                <w:lang w:val="en-GB"/>
              </w:rPr>
              <w:t xml:space="preserve"> with LOS only</w:t>
            </w:r>
            <w:r w:rsidR="004B6310">
              <w:rPr>
                <w:lang w:val="en-GB"/>
              </w:rPr>
              <w:t xml:space="preserve"> [3]</w:t>
            </w:r>
          </w:p>
        </w:tc>
      </w:tr>
      <w:tr w:rsidR="00DB1318" w14:paraId="032E1428"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3B838653" w14:textId="3CBABA83" w:rsidR="00DB1318" w:rsidRPr="00E7217A" w:rsidRDefault="009B6A85" w:rsidP="002161DD">
            <w:pPr>
              <w:rPr>
                <w:lang w:val="en-GB"/>
              </w:rPr>
            </w:pPr>
            <w:r w:rsidRPr="00483904">
              <w:rPr>
                <w:lang w:val="en-GB"/>
              </w:rPr>
              <w:t>RRH antenna panel</w:t>
            </w:r>
          </w:p>
        </w:tc>
        <w:tc>
          <w:tcPr>
            <w:tcW w:w="5794" w:type="dxa"/>
          </w:tcPr>
          <w:p w14:paraId="129A6B9E" w14:textId="77777777" w:rsidR="00DB1318" w:rsidRDefault="009B6A85" w:rsidP="002161DD">
            <w:pPr>
              <w:cnfStyle w:val="000000000000" w:firstRow="0" w:lastRow="0" w:firstColumn="0" w:lastColumn="0" w:oddVBand="0" w:evenVBand="0" w:oddHBand="0" w:evenHBand="0" w:firstRowFirstColumn="0" w:firstRowLastColumn="0" w:lastRowFirstColumn="0" w:lastRowLastColumn="0"/>
              <w:rPr>
                <w:lang w:val="en-GB"/>
              </w:rPr>
            </w:pPr>
            <w:r w:rsidRPr="009B6A85">
              <w:rPr>
                <w:lang w:val="en-GB"/>
              </w:rPr>
              <w:t>[Mg, Ng, M, N, P]</w:t>
            </w:r>
            <w:r>
              <w:rPr>
                <w:lang w:val="en-GB"/>
              </w:rPr>
              <w:t xml:space="preserve"> </w:t>
            </w:r>
            <w:r w:rsidRPr="009B6A85">
              <w:rPr>
                <w:lang w:val="en-GB"/>
              </w:rPr>
              <w:t>=</w:t>
            </w:r>
            <w:r>
              <w:rPr>
                <w:lang w:val="en-GB"/>
              </w:rPr>
              <w:t xml:space="preserve"> </w:t>
            </w:r>
            <w:r w:rsidRPr="009B6A85">
              <w:rPr>
                <w:lang w:val="en-GB"/>
              </w:rPr>
              <w:t>[1, 1, 8, 8, 2]</w:t>
            </w:r>
          </w:p>
          <w:p w14:paraId="26FBE689" w14:textId="033A9D65" w:rsidR="00263E06" w:rsidRDefault="00263E06"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 </w:t>
            </w:r>
            <w:proofErr w:type="spellStart"/>
            <w:r>
              <w:rPr>
                <w:lang w:val="en-GB"/>
              </w:rPr>
              <w:t>uni</w:t>
            </w:r>
            <w:proofErr w:type="spellEnd"/>
            <w:r>
              <w:rPr>
                <w:lang w:val="en-GB"/>
              </w:rPr>
              <w:t>-directional case panel is pointing towards the track at the x-axis where the next site is situated</w:t>
            </w:r>
            <w:r w:rsidR="00D41BFA">
              <w:rPr>
                <w:lang w:val="en-GB"/>
              </w:rPr>
              <w:t xml:space="preserve"> (ISD</w:t>
            </w:r>
            <w:r w:rsidR="00A43C30">
              <w:rPr>
                <w:lang w:val="en-GB"/>
              </w:rPr>
              <w:t xml:space="preserve"> away</w:t>
            </w:r>
            <w:r w:rsidR="00D41BFA">
              <w:rPr>
                <w:lang w:val="en-GB"/>
              </w:rPr>
              <w:t>)</w:t>
            </w:r>
          </w:p>
          <w:p w14:paraId="3FC4FD16" w14:textId="4BAB4D3F" w:rsidR="00DB1318" w:rsidRDefault="00263E06"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In bi-directional case panel is pointing towards the track at the x-axis at ISD/2</w:t>
            </w:r>
            <w:r w:rsidR="00A43C30">
              <w:rPr>
                <w:lang w:val="en-GB"/>
              </w:rPr>
              <w:t xml:space="preserve"> away</w:t>
            </w:r>
          </w:p>
        </w:tc>
      </w:tr>
      <w:tr w:rsidR="00330B39" w14:paraId="43873115"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35316752" w14:textId="71F53D54" w:rsidR="00330B39" w:rsidRPr="00E7217A" w:rsidRDefault="00330B39" w:rsidP="002161DD">
            <w:pPr>
              <w:rPr>
                <w:lang w:val="en-GB"/>
              </w:rPr>
            </w:pPr>
            <w:r w:rsidRPr="00483904">
              <w:rPr>
                <w:lang w:val="en-GB"/>
              </w:rPr>
              <w:t>SSB beams</w:t>
            </w:r>
            <w:r w:rsidR="00B17046" w:rsidRPr="00483904">
              <w:rPr>
                <w:lang w:val="en-GB"/>
              </w:rPr>
              <w:t xml:space="preserve"> per RRH</w:t>
            </w:r>
          </w:p>
        </w:tc>
        <w:tc>
          <w:tcPr>
            <w:tcW w:w="5794" w:type="dxa"/>
          </w:tcPr>
          <w:p w14:paraId="5E82199C" w14:textId="502771FF" w:rsidR="00121DFF" w:rsidRDefault="00330B39"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1</w:t>
            </w:r>
            <w:r w:rsidR="00121DFF">
              <w:rPr>
                <w:lang w:val="en-GB"/>
              </w:rPr>
              <w:t xml:space="preserve"> beam:</w:t>
            </w:r>
          </w:p>
          <w:p w14:paraId="24058EFD" w14:textId="47B0F2DC" w:rsidR="00330B39" w:rsidRDefault="00121DFF"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Pointing into the boresight of the RRH antenna panel</w:t>
            </w:r>
          </w:p>
          <w:p w14:paraId="555F510B" w14:textId="74527466" w:rsidR="00121DFF" w:rsidRDefault="00121DFF"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2 beams:</w:t>
            </w:r>
          </w:p>
          <w:p w14:paraId="43558975" w14:textId="2BBC0898" w:rsidR="00330B39" w:rsidRPr="009B6A85" w:rsidRDefault="00121DFF"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One beam is pointing into the boresight and the other beam is pointing 20, 30 degrees (</w:t>
            </w:r>
            <w:proofErr w:type="spellStart"/>
            <w:r>
              <w:rPr>
                <w:lang w:val="en-GB"/>
              </w:rPr>
              <w:t>uni</w:t>
            </w:r>
            <w:proofErr w:type="spellEnd"/>
            <w:r>
              <w:rPr>
                <w:lang w:val="en-GB"/>
              </w:rPr>
              <w:t>-directional, bi-directional respectively) towards the track from boresight</w:t>
            </w:r>
          </w:p>
        </w:tc>
      </w:tr>
      <w:tr w:rsidR="008E266C" w14:paraId="4EB045F1"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2BA1B871" w14:textId="4B895634" w:rsidR="008E266C" w:rsidRPr="00E7217A" w:rsidRDefault="008E266C" w:rsidP="002161DD">
            <w:pPr>
              <w:rPr>
                <w:lang w:val="en-GB"/>
              </w:rPr>
            </w:pPr>
            <w:r w:rsidRPr="00483904">
              <w:rPr>
                <w:lang w:val="en-GB"/>
              </w:rPr>
              <w:t>Train speed</w:t>
            </w:r>
          </w:p>
        </w:tc>
        <w:tc>
          <w:tcPr>
            <w:tcW w:w="5794" w:type="dxa"/>
          </w:tcPr>
          <w:p w14:paraId="762D9B6B" w14:textId="75492CF1" w:rsidR="008E266C" w:rsidRPr="008E266C" w:rsidRDefault="008E266C" w:rsidP="002161DD">
            <w:pPr>
              <w:cnfStyle w:val="000000000000" w:firstRow="0" w:lastRow="0" w:firstColumn="0" w:lastColumn="0" w:oddVBand="0" w:evenVBand="0" w:oddHBand="0" w:evenHBand="0" w:firstRowFirstColumn="0" w:firstRowLastColumn="0" w:lastRowFirstColumn="0" w:lastRowLastColumn="0"/>
              <w:rPr>
                <w:lang w:val="en-GB"/>
              </w:rPr>
            </w:pPr>
            <w:r w:rsidRPr="008E266C">
              <w:rPr>
                <w:lang w:val="en-GB"/>
              </w:rPr>
              <w:t>350 km/h</w:t>
            </w:r>
          </w:p>
        </w:tc>
      </w:tr>
      <w:tr w:rsidR="008E266C" w14:paraId="3867076B"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155F7168" w14:textId="711710FF" w:rsidR="008E266C" w:rsidRPr="00E7217A" w:rsidRDefault="00960EC2" w:rsidP="002161DD">
            <w:pPr>
              <w:rPr>
                <w:lang w:val="en-GB"/>
              </w:rPr>
            </w:pPr>
            <w:r>
              <w:rPr>
                <w:lang w:val="en-GB"/>
              </w:rPr>
              <w:t>CPE</w:t>
            </w:r>
            <w:r w:rsidR="008E266C" w:rsidRPr="00483904">
              <w:rPr>
                <w:lang w:val="en-GB"/>
              </w:rPr>
              <w:t xml:space="preserve"> antenna panel</w:t>
            </w:r>
          </w:p>
        </w:tc>
        <w:tc>
          <w:tcPr>
            <w:tcW w:w="5794" w:type="dxa"/>
          </w:tcPr>
          <w:p w14:paraId="16DE67FE" w14:textId="77777777" w:rsidR="008E266C" w:rsidRDefault="008E266C" w:rsidP="002161DD">
            <w:pPr>
              <w:cnfStyle w:val="000000000000" w:firstRow="0" w:lastRow="0" w:firstColumn="0" w:lastColumn="0" w:oddVBand="0" w:evenVBand="0" w:oddHBand="0" w:evenHBand="0" w:firstRowFirstColumn="0" w:firstRowLastColumn="0" w:lastRowFirstColumn="0" w:lastRowLastColumn="0"/>
              <w:rPr>
                <w:lang w:val="en-GB"/>
              </w:rPr>
            </w:pPr>
            <w:r w:rsidRPr="008E266C">
              <w:rPr>
                <w:lang w:val="en-GB"/>
              </w:rPr>
              <w:t xml:space="preserve">[Mg, Ng, M, N, </w:t>
            </w:r>
            <w:proofErr w:type="gramStart"/>
            <w:r w:rsidRPr="008E266C">
              <w:rPr>
                <w:lang w:val="en-GB"/>
              </w:rPr>
              <w:t>P]=</w:t>
            </w:r>
            <w:proofErr w:type="gramEnd"/>
            <w:r w:rsidRPr="008E266C">
              <w:rPr>
                <w:lang w:val="en-GB"/>
              </w:rPr>
              <w:t>[1, 1</w:t>
            </w:r>
            <w:r>
              <w:rPr>
                <w:lang w:val="en-GB"/>
              </w:rPr>
              <w:t xml:space="preserve"> or 2</w:t>
            </w:r>
            <w:r w:rsidRPr="008E266C">
              <w:rPr>
                <w:lang w:val="en-GB"/>
              </w:rPr>
              <w:t>, 4, 4, 2]</w:t>
            </w:r>
          </w:p>
          <w:p w14:paraId="4C2530DC" w14:textId="1CF3EB31" w:rsidR="008E266C" w:rsidRDefault="008E266C"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 </w:t>
            </w:r>
            <w:proofErr w:type="spellStart"/>
            <w:r>
              <w:rPr>
                <w:lang w:val="en-GB"/>
              </w:rPr>
              <w:t>uni</w:t>
            </w:r>
            <w:proofErr w:type="spellEnd"/>
            <w:r>
              <w:rPr>
                <w:lang w:val="en-GB"/>
              </w:rPr>
              <w:t xml:space="preserve">-directional case where RRHs point east </w:t>
            </w:r>
            <w:r w:rsidR="00960EC2">
              <w:rPr>
                <w:lang w:val="en-GB"/>
              </w:rPr>
              <w:t>CPE</w:t>
            </w:r>
            <w:r>
              <w:rPr>
                <w:lang w:val="en-GB"/>
              </w:rPr>
              <w:t xml:space="preserve"> has one antenna panel pointing west</w:t>
            </w:r>
          </w:p>
          <w:p w14:paraId="098E6FE3" w14:textId="549287A6" w:rsidR="008E266C" w:rsidRPr="008E266C" w:rsidRDefault="008E266C"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lastRenderedPageBreak/>
              <w:t xml:space="preserve">In bi-directional case </w:t>
            </w:r>
            <w:r w:rsidR="00960EC2">
              <w:rPr>
                <w:lang w:val="en-GB"/>
              </w:rPr>
              <w:t>CPE</w:t>
            </w:r>
            <w:r>
              <w:rPr>
                <w:lang w:val="en-GB"/>
              </w:rPr>
              <w:t xml:space="preserve"> has two antenna panels pointing to 180 degrees </w:t>
            </w:r>
            <w:r w:rsidR="006C27DA">
              <w:t>opposite</w:t>
            </w:r>
            <w:r>
              <w:rPr>
                <w:lang w:val="en-GB"/>
              </w:rPr>
              <w:t xml:space="preserve"> directions (</w:t>
            </w:r>
            <w:proofErr w:type="gramStart"/>
            <w:r>
              <w:rPr>
                <w:lang w:val="en-GB"/>
              </w:rPr>
              <w:t>west-east</w:t>
            </w:r>
            <w:proofErr w:type="gramEnd"/>
            <w:r>
              <w:rPr>
                <w:lang w:val="en-GB"/>
              </w:rPr>
              <w:t>)</w:t>
            </w:r>
          </w:p>
        </w:tc>
      </w:tr>
      <w:tr w:rsidR="008E266C" w14:paraId="16D1C985"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265D00C7" w14:textId="3094F94B" w:rsidR="008E266C" w:rsidRPr="00E7217A" w:rsidRDefault="00AA1F2C" w:rsidP="002161DD">
            <w:pPr>
              <w:rPr>
                <w:lang w:val="en-GB"/>
              </w:rPr>
            </w:pPr>
            <w:r w:rsidRPr="00483904">
              <w:rPr>
                <w:lang w:val="en-GB"/>
              </w:rPr>
              <w:lastRenderedPageBreak/>
              <w:t>Traffic</w:t>
            </w:r>
          </w:p>
        </w:tc>
        <w:tc>
          <w:tcPr>
            <w:tcW w:w="5794" w:type="dxa"/>
          </w:tcPr>
          <w:p w14:paraId="58F3AA1C" w14:textId="146AC4C6" w:rsidR="008E266C" w:rsidRPr="008E266C" w:rsidRDefault="00AA1F2C"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DL FTP3 with 2 files of 500 Kbytes per second per </w:t>
            </w:r>
            <w:r w:rsidR="00204D9E">
              <w:rPr>
                <w:lang w:val="en-GB"/>
              </w:rPr>
              <w:t>CPE</w:t>
            </w:r>
          </w:p>
        </w:tc>
      </w:tr>
      <w:tr w:rsidR="009D6F63" w14:paraId="59C433DB"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65C06DE8" w14:textId="37EFE9A9" w:rsidR="009D6F63" w:rsidRPr="00E7217A" w:rsidRDefault="009D6F63" w:rsidP="002161DD">
            <w:pPr>
              <w:rPr>
                <w:lang w:val="en-GB"/>
              </w:rPr>
            </w:pPr>
            <w:r w:rsidRPr="00483904">
              <w:rPr>
                <w:lang w:val="en-GB"/>
              </w:rPr>
              <w:t>Inter-cell interference</w:t>
            </w:r>
          </w:p>
        </w:tc>
        <w:tc>
          <w:tcPr>
            <w:tcW w:w="5794" w:type="dxa"/>
          </w:tcPr>
          <w:p w14:paraId="22455B17" w14:textId="3450FBF7" w:rsidR="009D6F63" w:rsidRDefault="009D6F63"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 the initial simulations only one train </w:t>
            </w:r>
            <w:r w:rsidR="00204D9E">
              <w:rPr>
                <w:lang w:val="en-GB"/>
              </w:rPr>
              <w:t>with one CPE</w:t>
            </w:r>
            <w:r>
              <w:rPr>
                <w:lang w:val="en-GB"/>
              </w:rPr>
              <w:t xml:space="preserve"> is simulated meaning there is no inter-cell interference</w:t>
            </w:r>
          </w:p>
        </w:tc>
      </w:tr>
      <w:tr w:rsidR="008E266C" w14:paraId="61F43365"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5BCECD7E" w14:textId="1FDE89F3" w:rsidR="008E266C" w:rsidRPr="00E7217A" w:rsidRDefault="00AA1F2C" w:rsidP="002161DD">
            <w:pPr>
              <w:rPr>
                <w:lang w:val="en-GB"/>
              </w:rPr>
            </w:pPr>
            <w:r w:rsidRPr="00483904">
              <w:rPr>
                <w:lang w:val="en-GB"/>
              </w:rPr>
              <w:t>Handover assumptions</w:t>
            </w:r>
          </w:p>
        </w:tc>
        <w:tc>
          <w:tcPr>
            <w:tcW w:w="5794" w:type="dxa"/>
          </w:tcPr>
          <w:p w14:paraId="667D08FA" w14:textId="77777777" w:rsidR="008E266C" w:rsidRDefault="00AA1F2C"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Event A3 with SS-RSRP</w:t>
            </w:r>
          </w:p>
          <w:p w14:paraId="5C377997" w14:textId="3EB7FD5A" w:rsidR="00AA1F2C" w:rsidRDefault="00AA1F2C"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Offset</w:t>
            </w:r>
            <w:r w:rsidR="00EE3082">
              <w:rPr>
                <w:lang w:val="en-GB"/>
              </w:rPr>
              <w:t>:</w:t>
            </w:r>
            <w:r>
              <w:rPr>
                <w:lang w:val="en-GB"/>
              </w:rPr>
              <w:t xml:space="preserve"> 3 dB</w:t>
            </w:r>
          </w:p>
          <w:p w14:paraId="27AE3A02" w14:textId="337F478E" w:rsidR="00AA1F2C" w:rsidRPr="008E266C" w:rsidRDefault="00AA1F2C"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Time-to-trigger</w:t>
            </w:r>
            <w:r w:rsidR="00EE3082">
              <w:rPr>
                <w:lang w:val="en-GB"/>
              </w:rPr>
              <w:t>:</w:t>
            </w:r>
            <w:r>
              <w:rPr>
                <w:lang w:val="en-GB"/>
              </w:rPr>
              <w:t xml:space="preserve"> 80 </w:t>
            </w:r>
            <w:proofErr w:type="spellStart"/>
            <w:r>
              <w:rPr>
                <w:lang w:val="en-GB"/>
              </w:rPr>
              <w:t>ms</w:t>
            </w:r>
            <w:proofErr w:type="spellEnd"/>
          </w:p>
        </w:tc>
      </w:tr>
      <w:tr w:rsidR="00376E8F" w14:paraId="6C7E9996"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48F5BCE4" w14:textId="4FD70641" w:rsidR="00376E8F" w:rsidRPr="00E7217A" w:rsidRDefault="00376E8F" w:rsidP="002161DD">
            <w:pPr>
              <w:rPr>
                <w:b w:val="0"/>
                <w:bCs w:val="0"/>
                <w:lang w:val="en-GB"/>
              </w:rPr>
            </w:pPr>
            <w:r w:rsidRPr="00C95235">
              <w:rPr>
                <w:lang w:eastAsia="zh-CN"/>
              </w:rPr>
              <w:t>RRC L1 measurement period</w:t>
            </w:r>
          </w:p>
        </w:tc>
        <w:tc>
          <w:tcPr>
            <w:tcW w:w="5794" w:type="dxa"/>
          </w:tcPr>
          <w:p w14:paraId="165C42E2" w14:textId="7F8E3EDE" w:rsidR="00376E8F" w:rsidRDefault="00376E8F"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200 ms (5 measurement samples)</w:t>
            </w:r>
          </w:p>
        </w:tc>
      </w:tr>
      <w:tr w:rsidR="005519CE" w14:paraId="7C6C62B1"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1FC3F97B" w14:textId="1CCC82C7" w:rsidR="005519CE" w:rsidRPr="00AA1F2C" w:rsidRDefault="005519CE" w:rsidP="002161DD">
            <w:pPr>
              <w:rPr>
                <w:b w:val="0"/>
                <w:bCs w:val="0"/>
                <w:lang w:val="en-GB"/>
              </w:rPr>
            </w:pPr>
            <w:r w:rsidRPr="00C95235">
              <w:rPr>
                <w:lang w:val="en-GB"/>
              </w:rPr>
              <w:t>Cell detection assumptions</w:t>
            </w:r>
          </w:p>
        </w:tc>
        <w:tc>
          <w:tcPr>
            <w:tcW w:w="5794" w:type="dxa"/>
          </w:tcPr>
          <w:p w14:paraId="3C469FC7" w14:textId="3AF75D03" w:rsidR="005519CE" w:rsidRDefault="005519CE"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Delay</w:t>
            </w:r>
            <w:r w:rsidR="00EE3082">
              <w:rPr>
                <w:lang w:val="en-GB"/>
              </w:rPr>
              <w:t>:</w:t>
            </w:r>
            <w:r>
              <w:rPr>
                <w:lang w:val="en-GB"/>
              </w:rPr>
              <w:t xml:space="preserve"> 600 </w:t>
            </w:r>
            <w:proofErr w:type="spellStart"/>
            <w:r>
              <w:rPr>
                <w:lang w:val="en-GB"/>
              </w:rPr>
              <w:t>ms</w:t>
            </w:r>
            <w:proofErr w:type="spellEnd"/>
          </w:p>
        </w:tc>
      </w:tr>
      <w:tr w:rsidR="00984FDD" w14:paraId="7A075701"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6D85AA74" w14:textId="0499C14C" w:rsidR="00984FDD" w:rsidRDefault="00984FDD" w:rsidP="002161DD">
            <w:pPr>
              <w:rPr>
                <w:b w:val="0"/>
                <w:bCs w:val="0"/>
                <w:lang w:val="en-GB"/>
              </w:rPr>
            </w:pPr>
            <w:r w:rsidRPr="00C95235">
              <w:rPr>
                <w:lang w:val="en-GB"/>
              </w:rPr>
              <w:t>RLM assumptions</w:t>
            </w:r>
          </w:p>
        </w:tc>
        <w:tc>
          <w:tcPr>
            <w:tcW w:w="5794" w:type="dxa"/>
          </w:tcPr>
          <w:p w14:paraId="3BBD097D" w14:textId="4C4EB9C4" w:rsidR="00984FDD" w:rsidRDefault="00EE3082" w:rsidP="002161DD">
            <w:pPr>
              <w:cnfStyle w:val="000000000000" w:firstRow="0" w:lastRow="0" w:firstColumn="0" w:lastColumn="0" w:oddVBand="0" w:evenVBand="0" w:oddHBand="0" w:evenHBand="0" w:firstRowFirstColumn="0" w:firstRowLastColumn="0" w:lastRowFirstColumn="0" w:lastRowLastColumn="0"/>
              <w:rPr>
                <w:lang w:val="en-GB"/>
              </w:rPr>
            </w:pPr>
            <w:proofErr w:type="spellStart"/>
            <w:r>
              <w:rPr>
                <w:lang w:val="en-GB"/>
              </w:rPr>
              <w:t>T</w:t>
            </w:r>
            <w:r w:rsidRPr="000B06F1">
              <w:rPr>
                <w:vertAlign w:val="subscript"/>
                <w:lang w:val="en-GB"/>
              </w:rPr>
              <w:t>indication</w:t>
            </w:r>
            <w:proofErr w:type="spellEnd"/>
            <w:r>
              <w:rPr>
                <w:lang w:val="en-GB"/>
              </w:rPr>
              <w:t xml:space="preserve">: 10 </w:t>
            </w:r>
            <w:proofErr w:type="spellStart"/>
            <w:r>
              <w:rPr>
                <w:lang w:val="en-GB"/>
              </w:rPr>
              <w:t>ms</w:t>
            </w:r>
            <w:proofErr w:type="spellEnd"/>
          </w:p>
          <w:p w14:paraId="509AC990" w14:textId="033966DA" w:rsidR="00EE3082" w:rsidRDefault="00EE3082" w:rsidP="002161DD">
            <w:pPr>
              <w:cnfStyle w:val="000000000000" w:firstRow="0" w:lastRow="0" w:firstColumn="0" w:lastColumn="0" w:oddVBand="0" w:evenVBand="0" w:oddHBand="0" w:evenHBand="0" w:firstRowFirstColumn="0" w:firstRowLastColumn="0" w:lastRowFirstColumn="0" w:lastRowLastColumn="0"/>
              <w:rPr>
                <w:lang w:val="en-GB"/>
              </w:rPr>
            </w:pPr>
            <w:proofErr w:type="spellStart"/>
            <w:r>
              <w:rPr>
                <w:lang w:val="en-GB"/>
              </w:rPr>
              <w:t>Q</w:t>
            </w:r>
            <w:r w:rsidRPr="000B06F1">
              <w:rPr>
                <w:vertAlign w:val="subscript"/>
                <w:lang w:val="en-GB"/>
              </w:rPr>
              <w:t>out</w:t>
            </w:r>
            <w:proofErr w:type="spellEnd"/>
            <w:r>
              <w:rPr>
                <w:lang w:val="en-GB"/>
              </w:rPr>
              <w:t xml:space="preserve"> filtering period: 200 </w:t>
            </w:r>
            <w:proofErr w:type="spellStart"/>
            <w:r>
              <w:rPr>
                <w:lang w:val="en-GB"/>
              </w:rPr>
              <w:t>ms</w:t>
            </w:r>
            <w:proofErr w:type="spellEnd"/>
          </w:p>
          <w:p w14:paraId="5ADBBBE6" w14:textId="4C2B7A15" w:rsidR="00EE3082" w:rsidRDefault="00EE3082"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Q</w:t>
            </w:r>
            <w:r w:rsidRPr="000B06F1">
              <w:rPr>
                <w:vertAlign w:val="subscript"/>
                <w:lang w:val="en-GB"/>
              </w:rPr>
              <w:t>in</w:t>
            </w:r>
            <w:r>
              <w:rPr>
                <w:lang w:val="en-GB"/>
              </w:rPr>
              <w:t xml:space="preserve"> filtering period: 100 </w:t>
            </w:r>
            <w:proofErr w:type="spellStart"/>
            <w:r>
              <w:rPr>
                <w:lang w:val="en-GB"/>
              </w:rPr>
              <w:t>ms</w:t>
            </w:r>
            <w:proofErr w:type="spellEnd"/>
          </w:p>
          <w:p w14:paraId="0616B322" w14:textId="0B3B0205" w:rsidR="00EE3082" w:rsidRDefault="00EE3082"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N310: 2 samples</w:t>
            </w:r>
          </w:p>
          <w:p w14:paraId="36BE9CE5" w14:textId="77777777" w:rsidR="00EE3082" w:rsidRDefault="00EE3082"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N311: 2 samples</w:t>
            </w:r>
          </w:p>
          <w:p w14:paraId="673FF93E" w14:textId="77777777" w:rsidR="001C30A0" w:rsidRDefault="001C30A0" w:rsidP="002161DD">
            <w:pPr>
              <w:cnfStyle w:val="000000000000" w:firstRow="0" w:lastRow="0" w:firstColumn="0" w:lastColumn="0" w:oddVBand="0" w:evenVBand="0" w:oddHBand="0" w:evenHBand="0" w:firstRowFirstColumn="0" w:firstRowLastColumn="0" w:lastRowFirstColumn="0" w:lastRowLastColumn="0"/>
              <w:rPr>
                <w:lang w:val="en-GB"/>
              </w:rPr>
            </w:pPr>
            <w:proofErr w:type="spellStart"/>
            <w:r>
              <w:rPr>
                <w:lang w:val="en-GB"/>
              </w:rPr>
              <w:t>Q</w:t>
            </w:r>
            <w:r w:rsidRPr="000B06F1">
              <w:rPr>
                <w:vertAlign w:val="subscript"/>
                <w:lang w:val="en-GB"/>
              </w:rPr>
              <w:t>out</w:t>
            </w:r>
            <w:proofErr w:type="spellEnd"/>
            <w:r>
              <w:rPr>
                <w:lang w:val="en-GB"/>
              </w:rPr>
              <w:t xml:space="preserve"> threshold SINR: -8 dB</w:t>
            </w:r>
          </w:p>
          <w:p w14:paraId="3BE92398" w14:textId="115824C3" w:rsidR="001C30A0" w:rsidRDefault="001C30A0"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Q</w:t>
            </w:r>
            <w:r w:rsidRPr="000B06F1">
              <w:rPr>
                <w:vertAlign w:val="subscript"/>
                <w:lang w:val="en-GB"/>
              </w:rPr>
              <w:t>i</w:t>
            </w:r>
            <w:r w:rsidR="000B06F1" w:rsidRPr="000B06F1">
              <w:rPr>
                <w:vertAlign w:val="subscript"/>
              </w:rPr>
              <w:t>n</w:t>
            </w:r>
            <w:r>
              <w:rPr>
                <w:lang w:val="en-GB"/>
              </w:rPr>
              <w:t xml:space="preserve"> threshold SINR: -6 dB</w:t>
            </w:r>
          </w:p>
        </w:tc>
      </w:tr>
      <w:tr w:rsidR="007767FA" w14:paraId="7F6EE0B7"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18105567" w14:textId="07B5091A" w:rsidR="007767FA" w:rsidRPr="00E7217A" w:rsidRDefault="007767FA" w:rsidP="002161DD">
            <w:pPr>
              <w:rPr>
                <w:b w:val="0"/>
                <w:bCs w:val="0"/>
                <w:lang w:val="en-GB"/>
              </w:rPr>
            </w:pPr>
            <w:r w:rsidRPr="00C95235">
              <w:rPr>
                <w:lang w:val="en-GB"/>
              </w:rPr>
              <w:t>DRX</w:t>
            </w:r>
          </w:p>
        </w:tc>
        <w:tc>
          <w:tcPr>
            <w:tcW w:w="5794" w:type="dxa"/>
          </w:tcPr>
          <w:p w14:paraId="45A8FFEC" w14:textId="48C8BA54" w:rsidR="007767FA" w:rsidRDefault="007767FA"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DRX is disabled</w:t>
            </w:r>
          </w:p>
        </w:tc>
      </w:tr>
      <w:tr w:rsidR="007F213D" w14:paraId="169B4E6F" w14:textId="77777777" w:rsidTr="00385981">
        <w:tc>
          <w:tcPr>
            <w:cnfStyle w:val="001000000000" w:firstRow="0" w:lastRow="0" w:firstColumn="1" w:lastColumn="0" w:oddVBand="0" w:evenVBand="0" w:oddHBand="0" w:evenHBand="0" w:firstRowFirstColumn="0" w:firstRowLastColumn="0" w:lastRowFirstColumn="0" w:lastRowLastColumn="0"/>
            <w:tcW w:w="3823" w:type="dxa"/>
          </w:tcPr>
          <w:p w14:paraId="527653BC" w14:textId="21366C3B" w:rsidR="007F213D" w:rsidRPr="00E7217A" w:rsidRDefault="007F213D" w:rsidP="002161DD">
            <w:pPr>
              <w:rPr>
                <w:b w:val="0"/>
                <w:bCs w:val="0"/>
                <w:lang w:val="en-GB"/>
              </w:rPr>
            </w:pPr>
            <w:r w:rsidRPr="00C95235">
              <w:rPr>
                <w:lang w:val="en-GB"/>
              </w:rPr>
              <w:t>Simulation length</w:t>
            </w:r>
          </w:p>
        </w:tc>
        <w:tc>
          <w:tcPr>
            <w:tcW w:w="5794" w:type="dxa"/>
          </w:tcPr>
          <w:p w14:paraId="20772A37" w14:textId="5C015B52" w:rsidR="007F213D" w:rsidRDefault="007F213D" w:rsidP="002161DD">
            <w:pPr>
              <w:cnfStyle w:val="000000000000" w:firstRow="0" w:lastRow="0" w:firstColumn="0" w:lastColumn="0" w:oddVBand="0" w:evenVBand="0" w:oddHBand="0" w:evenHBand="0" w:firstRowFirstColumn="0" w:firstRowLastColumn="0" w:lastRowFirstColumn="0" w:lastRowLastColumn="0"/>
              <w:rPr>
                <w:lang w:val="en-GB"/>
              </w:rPr>
            </w:pPr>
            <w:r>
              <w:rPr>
                <w:lang w:val="en-GB"/>
              </w:rPr>
              <w:t>100 seconds (50 drops of 100 seconds simulated)</w:t>
            </w:r>
          </w:p>
        </w:tc>
      </w:tr>
    </w:tbl>
    <w:p w14:paraId="7CA92FFD" w14:textId="1A6097F5" w:rsidR="002161DD" w:rsidRPr="002161DD" w:rsidRDefault="002161DD" w:rsidP="002161DD">
      <w:pPr>
        <w:rPr>
          <w:lang w:val="en-GB"/>
        </w:rPr>
      </w:pPr>
    </w:p>
    <w:p w14:paraId="295922E7" w14:textId="52CD1DF7" w:rsidR="003776CD" w:rsidRDefault="003776CD" w:rsidP="003776CD">
      <w:pPr>
        <w:pStyle w:val="RAN4H1"/>
      </w:pPr>
      <w:r>
        <w:t>Simulation results</w:t>
      </w:r>
    </w:p>
    <w:p w14:paraId="22037D20" w14:textId="6DD2A1CF" w:rsidR="00767C11" w:rsidRDefault="00767C11" w:rsidP="00767C11">
      <w:pPr>
        <w:rPr>
          <w:lang w:val="en-GB"/>
        </w:rPr>
      </w:pPr>
      <w:r>
        <w:rPr>
          <w:lang w:val="en-GB"/>
        </w:rPr>
        <w:t>In the initial simulations we have investigated the mobility performance using</w:t>
      </w:r>
      <w:r w:rsidR="005B6717">
        <w:rPr>
          <w:lang w:val="en-150"/>
        </w:rPr>
        <w:t xml:space="preserve"> the following </w:t>
      </w:r>
      <w:r>
        <w:rPr>
          <w:lang w:val="en-GB"/>
        </w:rPr>
        <w:t xml:space="preserve"> metrics</w:t>
      </w:r>
      <w:r w:rsidR="005B6717">
        <w:rPr>
          <w:lang w:val="en-150"/>
        </w:rPr>
        <w:t>:</w:t>
      </w:r>
      <w:r>
        <w:rPr>
          <w:lang w:val="en-GB"/>
        </w:rPr>
        <w:t xml:space="preserve"> cell time-of-stay (</w:t>
      </w:r>
      <w:proofErr w:type="spellStart"/>
      <w:r>
        <w:rPr>
          <w:lang w:val="en-GB"/>
        </w:rPr>
        <w:t>ToS</w:t>
      </w:r>
      <w:proofErr w:type="spellEnd"/>
      <w:r>
        <w:rPr>
          <w:lang w:val="en-GB"/>
        </w:rPr>
        <w:t xml:space="preserve">), handover rate per </w:t>
      </w:r>
      <w:r w:rsidR="00565032">
        <w:rPr>
          <w:lang w:val="en-GB"/>
        </w:rPr>
        <w:t>CPE</w:t>
      </w:r>
      <w:r>
        <w:rPr>
          <w:lang w:val="en-GB"/>
        </w:rPr>
        <w:t xml:space="preserve"> per second, ping-pong handover rate, percentage of mobility failures (</w:t>
      </w:r>
      <w:r w:rsidR="006845D2">
        <w:rPr>
          <w:lang w:val="en-GB"/>
        </w:rPr>
        <w:t>radio link and handover failures, RLF + HOF</w:t>
      </w:r>
      <w:r>
        <w:rPr>
          <w:lang w:val="en-GB"/>
        </w:rPr>
        <w:t>) compared to all cell change events.</w:t>
      </w:r>
      <w:r w:rsidR="006845D2">
        <w:rPr>
          <w:lang w:val="en-GB"/>
        </w:rPr>
        <w:t xml:space="preserve"> </w:t>
      </w:r>
      <w:r w:rsidR="00560AD0">
        <w:rPr>
          <w:lang w:val="en-GB"/>
        </w:rPr>
        <w:t>Additionally,</w:t>
      </w:r>
      <w:r w:rsidR="006845D2">
        <w:rPr>
          <w:lang w:val="en-GB"/>
        </w:rPr>
        <w:t xml:space="preserve"> time-of-outage rate per call is investigated</w:t>
      </w:r>
      <w:r w:rsidR="005B6717">
        <w:rPr>
          <w:lang w:val="en-150"/>
        </w:rPr>
        <w:t>. It is defined as</w:t>
      </w:r>
      <w:r w:rsidR="006845D2">
        <w:rPr>
          <w:lang w:val="en-GB"/>
        </w:rPr>
        <w:t xml:space="preserve"> the combined effect of handover execution delay, radio link problem detection</w:t>
      </w:r>
      <w:r>
        <w:rPr>
          <w:lang w:val="en-GB"/>
        </w:rPr>
        <w:t xml:space="preserve"> </w:t>
      </w:r>
      <w:r w:rsidR="006845D2">
        <w:rPr>
          <w:lang w:val="en-GB"/>
        </w:rPr>
        <w:t>and generally lower experienced SINR than -8 dB threshold.</w:t>
      </w:r>
      <w:r w:rsidR="00CD40F6">
        <w:rPr>
          <w:lang w:val="en-GB"/>
        </w:rPr>
        <w:t xml:space="preserve"> Handover is described as ping-pong when two handovers between same cell-pair occur during one second.</w:t>
      </w:r>
      <w:r w:rsidR="001B757D">
        <w:rPr>
          <w:lang w:val="en-GB"/>
        </w:rPr>
        <w:t xml:space="preserve"> For 2 beams per RRH case</w:t>
      </w:r>
      <w:r w:rsidR="000C7EB0">
        <w:rPr>
          <w:lang w:val="en-150"/>
        </w:rPr>
        <w:t>,</w:t>
      </w:r>
      <w:r w:rsidR="001B757D">
        <w:rPr>
          <w:lang w:val="en-GB"/>
        </w:rPr>
        <w:t xml:space="preserve"> we have also investigated the beam switch rate.</w:t>
      </w:r>
    </w:p>
    <w:p w14:paraId="577D31AB" w14:textId="023990CC" w:rsidR="00571154" w:rsidRDefault="00571154" w:rsidP="00767C11">
      <w:r>
        <w:t xml:space="preserve">Figure </w:t>
      </w:r>
      <w:fldSimple w:instr=" SEQ Figure \* ARABIC ">
        <w:r>
          <w:rPr>
            <w:noProof/>
          </w:rPr>
          <w:t>1</w:t>
        </w:r>
      </w:fldSimple>
      <w:r>
        <w:t xml:space="preserve"> shows the results for cell </w:t>
      </w:r>
      <w:proofErr w:type="spellStart"/>
      <w:r>
        <w:t>ToS</w:t>
      </w:r>
      <w:proofErr w:type="spellEnd"/>
      <w:r>
        <w:t xml:space="preserve"> with 1 beam per RRH simulation case. It is observed that in </w:t>
      </w:r>
      <w:proofErr w:type="spellStart"/>
      <w:r>
        <w:t>uni</w:t>
      </w:r>
      <w:proofErr w:type="spellEnd"/>
      <w:r>
        <w:t xml:space="preserve">-directional case the median </w:t>
      </w:r>
      <w:proofErr w:type="spellStart"/>
      <w:r>
        <w:t>ToS</w:t>
      </w:r>
      <w:proofErr w:type="spellEnd"/>
      <w:r>
        <w:t xml:space="preserve"> follows closely the travel time of one ISD as the train moves about 97.2 m/s. For many cases (20-30%) </w:t>
      </w:r>
      <w:proofErr w:type="spellStart"/>
      <w:r>
        <w:t>ToS</w:t>
      </w:r>
      <w:proofErr w:type="spellEnd"/>
      <w:r>
        <w:t xml:space="preserve"> is much shorter than the travel duration of one ISD even in </w:t>
      </w:r>
      <w:proofErr w:type="spellStart"/>
      <w:r>
        <w:t>uni</w:t>
      </w:r>
      <w:proofErr w:type="spellEnd"/>
      <w:r>
        <w:t xml:space="preserve">-directional case, because there are quite frequent handovers as seen in Figure </w:t>
      </w:r>
      <w:fldSimple w:instr=" SEQ Figure \* ARABIC ">
        <w:r>
          <w:rPr>
            <w:noProof/>
          </w:rPr>
          <w:t>2</w:t>
        </w:r>
      </w:fldSimple>
      <w:r>
        <w:t xml:space="preserve"> particularly for ISD 300 case. There can be overlaps in the handover regions particularly when we consider shadowing, which causes sometimes short </w:t>
      </w:r>
      <w:proofErr w:type="spellStart"/>
      <w:r>
        <w:t>ToS</w:t>
      </w:r>
      <w:proofErr w:type="spellEnd"/>
      <w:r>
        <w:t>.</w:t>
      </w:r>
      <w:r w:rsidR="00A25060">
        <w:t xml:space="preserve"> For bi-direction case the time-of-stays are much shorter as expected due to more overlaps in RRH coverage areas causing more handovers to happen in both ISD 300 and 650 m cases.</w:t>
      </w:r>
    </w:p>
    <w:p w14:paraId="1387F5AD" w14:textId="59709678" w:rsidR="0022166C" w:rsidRDefault="0022166C" w:rsidP="00767C11">
      <w:pPr>
        <w:rPr>
          <w:lang w:val="en-GB"/>
        </w:rPr>
      </w:pPr>
      <w:r>
        <w:t xml:space="preserve">Figure 3 shows the results for cell </w:t>
      </w:r>
      <w:proofErr w:type="spellStart"/>
      <w:r>
        <w:t>ToS</w:t>
      </w:r>
      <w:proofErr w:type="spellEnd"/>
      <w:r>
        <w:t xml:space="preserve"> with 2 beams per RRH simulation case.</w:t>
      </w:r>
      <w:r w:rsidR="00160527">
        <w:t xml:space="preserve"> The </w:t>
      </w:r>
      <w:proofErr w:type="spellStart"/>
      <w:r w:rsidR="00160527">
        <w:t>ToS</w:t>
      </w:r>
      <w:proofErr w:type="spellEnd"/>
      <w:r w:rsidR="00160527">
        <w:t xml:space="preserve"> in 2 beams case follows quite closely the principles seen in 1 beam case. One notable difference is lower amount of </w:t>
      </w:r>
      <w:r w:rsidR="00682DBC">
        <w:t xml:space="preserve">short </w:t>
      </w:r>
      <w:proofErr w:type="spellStart"/>
      <w:r w:rsidR="00682DBC">
        <w:t>ToS</w:t>
      </w:r>
      <w:proofErr w:type="spellEnd"/>
      <w:r w:rsidR="00682DBC">
        <w:t xml:space="preserve"> for ISD 300 case with </w:t>
      </w:r>
      <w:proofErr w:type="spellStart"/>
      <w:r w:rsidR="00682DBC">
        <w:t>uni</w:t>
      </w:r>
      <w:proofErr w:type="spellEnd"/>
      <w:r w:rsidR="00682DBC">
        <w:t xml:space="preserve">-directional RRHs when 2 beams are used. This can be caused by more coverage near the site which makes the </w:t>
      </w:r>
      <w:r w:rsidR="00EA6AE7">
        <w:t>CPE</w:t>
      </w:r>
      <w:r w:rsidR="00682DBC">
        <w:t xml:space="preserve"> less prone to ping-pongs. On the other hand, like seen in the Figure 4 with handover rates in bi-directional case with ISD 300, 2 beams configuration increased the </w:t>
      </w:r>
      <w:proofErr w:type="gramStart"/>
      <w:r w:rsidR="00682DBC">
        <w:t>amount</w:t>
      </w:r>
      <w:proofErr w:type="gramEnd"/>
      <w:r w:rsidR="00682DBC">
        <w:t xml:space="preserve"> of handovers. It should be noted that these results can be heavily impacted by the beam directions in each case which is for further study.</w:t>
      </w:r>
    </w:p>
    <w:p w14:paraId="220AD583" w14:textId="77777777" w:rsidR="00E071DD" w:rsidRDefault="00E071DD" w:rsidP="00E071DD">
      <w:pPr>
        <w:keepNext/>
      </w:pPr>
      <w:r>
        <w:rPr>
          <w:noProof/>
        </w:rPr>
        <w:lastRenderedPageBreak/>
        <w:drawing>
          <wp:inline distT="0" distB="0" distL="0" distR="0" wp14:anchorId="2EB796BD" wp14:editId="7543A6D7">
            <wp:extent cx="2876873"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2876873" cy="2160000"/>
                    </a:xfrm>
                    <a:prstGeom prst="rect">
                      <a:avLst/>
                    </a:prstGeom>
                  </pic:spPr>
                </pic:pic>
              </a:graphicData>
            </a:graphic>
          </wp:inline>
        </w:drawing>
      </w:r>
      <w:r>
        <w:rPr>
          <w:noProof/>
        </w:rPr>
        <w:drawing>
          <wp:inline distT="0" distB="0" distL="0" distR="0" wp14:anchorId="5967F963" wp14:editId="5D9A2DA0">
            <wp:extent cx="2876874" cy="2160000"/>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2876874" cy="2160000"/>
                    </a:xfrm>
                    <a:prstGeom prst="rect">
                      <a:avLst/>
                    </a:prstGeom>
                  </pic:spPr>
                </pic:pic>
              </a:graphicData>
            </a:graphic>
          </wp:inline>
        </w:drawing>
      </w:r>
    </w:p>
    <w:p w14:paraId="6D7DB849" w14:textId="24D9036E" w:rsidR="00E071DD" w:rsidRDefault="000F3401" w:rsidP="000F3401">
      <w:pPr>
        <w:pStyle w:val="Caption"/>
        <w:jc w:val="left"/>
      </w:pPr>
      <w:r>
        <w:t xml:space="preserve">        </w:t>
      </w:r>
      <w:r w:rsidR="00E071DD">
        <w:t xml:space="preserve">Figure </w:t>
      </w:r>
      <w:r w:rsidR="006927C2">
        <w:t>1</w:t>
      </w:r>
      <w:r w:rsidR="00E071DD">
        <w:t xml:space="preserve"> Cell time-of-stay with 1 beam per RRH                Figure </w:t>
      </w:r>
      <w:r w:rsidR="006927C2">
        <w:t>2</w:t>
      </w:r>
      <w:r w:rsidR="00E071DD">
        <w:t xml:space="preserve"> Handover rate with 1 beam per RRH</w:t>
      </w:r>
    </w:p>
    <w:p w14:paraId="204599DD" w14:textId="77777777" w:rsidR="006927C2" w:rsidRDefault="006927C2" w:rsidP="006927C2">
      <w:pPr>
        <w:keepNext/>
      </w:pPr>
      <w:r>
        <w:rPr>
          <w:noProof/>
        </w:rPr>
        <w:drawing>
          <wp:inline distT="0" distB="0" distL="0" distR="0" wp14:anchorId="775381CC" wp14:editId="4A8BB269">
            <wp:extent cx="2876873"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2876873" cy="2160000"/>
                    </a:xfrm>
                    <a:prstGeom prst="rect">
                      <a:avLst/>
                    </a:prstGeom>
                  </pic:spPr>
                </pic:pic>
              </a:graphicData>
            </a:graphic>
          </wp:inline>
        </w:drawing>
      </w:r>
      <w:r>
        <w:rPr>
          <w:noProof/>
        </w:rPr>
        <w:drawing>
          <wp:inline distT="0" distB="0" distL="0" distR="0" wp14:anchorId="4B03ADCA" wp14:editId="4580362F">
            <wp:extent cx="2876873"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a:extLst>
                        <a:ext uri="{28A0092B-C50C-407E-A947-70E740481C1C}">
                          <a14:useLocalDpi xmlns:a14="http://schemas.microsoft.com/office/drawing/2010/main" val="0"/>
                        </a:ext>
                      </a:extLst>
                    </a:blip>
                    <a:stretch>
                      <a:fillRect/>
                    </a:stretch>
                  </pic:blipFill>
                  <pic:spPr>
                    <a:xfrm>
                      <a:off x="0" y="0"/>
                      <a:ext cx="2876873" cy="2160000"/>
                    </a:xfrm>
                    <a:prstGeom prst="rect">
                      <a:avLst/>
                    </a:prstGeom>
                  </pic:spPr>
                </pic:pic>
              </a:graphicData>
            </a:graphic>
          </wp:inline>
        </w:drawing>
      </w:r>
    </w:p>
    <w:p w14:paraId="581F9027" w14:textId="7AA156DC" w:rsidR="006927C2" w:rsidRDefault="000F3401" w:rsidP="000F3401">
      <w:pPr>
        <w:pStyle w:val="Caption"/>
        <w:jc w:val="left"/>
      </w:pPr>
      <w:r>
        <w:t xml:space="preserve">           </w:t>
      </w:r>
      <w:r w:rsidR="006927C2">
        <w:t xml:space="preserve">Figure 3 Cell time-of-stay with 2 beams per RRH          </w:t>
      </w:r>
      <w:r>
        <w:t xml:space="preserve"> </w:t>
      </w:r>
      <w:r w:rsidR="006927C2">
        <w:t>Figure 4 Handover rate with 2 beams per RRH</w:t>
      </w:r>
    </w:p>
    <w:p w14:paraId="4A9A1F56" w14:textId="4F496C4F" w:rsidR="00CD40F6" w:rsidRPr="00CD40F6" w:rsidRDefault="00CD40F6" w:rsidP="00CD40F6">
      <w:r>
        <w:t xml:space="preserve">In these initial mobility </w:t>
      </w:r>
      <w:proofErr w:type="gramStart"/>
      <w:r>
        <w:t>simulations</w:t>
      </w:r>
      <w:proofErr w:type="gramEnd"/>
      <w:r>
        <w:t xml:space="preserve"> we do not have any inter-cell interference which can affect the observation from Figure </w:t>
      </w:r>
      <w:r w:rsidR="006927C2">
        <w:t>5</w:t>
      </w:r>
      <w:r>
        <w:t xml:space="preserve"> that we do not see frequent mobility failures occurring although having high-speed train simulated. Only with the highest ISD and </w:t>
      </w:r>
      <w:proofErr w:type="spellStart"/>
      <w:r>
        <w:t>uni</w:t>
      </w:r>
      <w:proofErr w:type="spellEnd"/>
      <w:r>
        <w:t xml:space="preserve">-directional case we see some failures, but the probability stays well below 1%. However, we do see a lot of ping-pong handovers in Figure </w:t>
      </w:r>
      <w:r w:rsidR="006927C2">
        <w:t>6</w:t>
      </w:r>
      <w:r>
        <w:t>, which are partly caused by aggressive handover settings. With more overlap in coverage areas of RRHs the ISD 300 m scenario generates much more ping-pong handovers</w:t>
      </w:r>
      <w:r w:rsidR="003E0248">
        <w:t>, up t</w:t>
      </w:r>
      <w:r w:rsidR="00DD360B">
        <w:t>o</w:t>
      </w:r>
      <w:r w:rsidR="003E0248">
        <w:t xml:space="preserve"> 35% of all handovers. Ping-pong rate is much lower than 10% in ISD 650 m scenario.</w:t>
      </w:r>
    </w:p>
    <w:p w14:paraId="7D542F86" w14:textId="521FA98D" w:rsidR="00682DBC" w:rsidRPr="00CD40F6" w:rsidRDefault="00682DBC" w:rsidP="00CD40F6">
      <w:r>
        <w:t xml:space="preserve">In similar manner for the case with 2 beams per RRH we can in Figure 7 that RLFs and HOFs are absent in these conditions without inter-cell interference. </w:t>
      </w:r>
      <w:r w:rsidR="000C7EB0">
        <w:rPr>
          <w:lang w:val="en-150"/>
        </w:rPr>
        <w:t>Although</w:t>
      </w:r>
      <w:r>
        <w:t xml:space="preserve"> the selected aggressive handover setting may prevent some failures, </w:t>
      </w:r>
      <w:r w:rsidR="000C7EB0">
        <w:rPr>
          <w:lang w:val="en-150"/>
        </w:rPr>
        <w:t>it</w:t>
      </w:r>
      <w:r>
        <w:t xml:space="preserve"> </w:t>
      </w:r>
      <w:proofErr w:type="gramStart"/>
      <w:r>
        <w:t>cause</w:t>
      </w:r>
      <w:proofErr w:type="gramEnd"/>
      <w:r>
        <w:t xml:space="preserve"> ping-pong handovers as seen in Figure 8.</w:t>
      </w:r>
    </w:p>
    <w:p w14:paraId="70D76E3F" w14:textId="77777777" w:rsidR="000D52FA" w:rsidRDefault="000D52FA" w:rsidP="000D52FA">
      <w:pPr>
        <w:keepNext/>
      </w:pPr>
      <w:r>
        <w:rPr>
          <w:noProof/>
        </w:rPr>
        <w:lastRenderedPageBreak/>
        <w:drawing>
          <wp:inline distT="0" distB="0" distL="0" distR="0" wp14:anchorId="708B6325" wp14:editId="407E186E">
            <wp:extent cx="2876874" cy="21600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2876874" cy="2160000"/>
                    </a:xfrm>
                    <a:prstGeom prst="rect">
                      <a:avLst/>
                    </a:prstGeom>
                  </pic:spPr>
                </pic:pic>
              </a:graphicData>
            </a:graphic>
          </wp:inline>
        </w:drawing>
      </w:r>
      <w:r>
        <w:rPr>
          <w:noProof/>
        </w:rPr>
        <w:drawing>
          <wp:inline distT="0" distB="0" distL="0" distR="0" wp14:anchorId="288A5CAA" wp14:editId="10D2E7E4">
            <wp:extent cx="2876874" cy="21600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a:extLst>
                        <a:ext uri="{28A0092B-C50C-407E-A947-70E740481C1C}">
                          <a14:useLocalDpi xmlns:a14="http://schemas.microsoft.com/office/drawing/2010/main" val="0"/>
                        </a:ext>
                      </a:extLst>
                    </a:blip>
                    <a:stretch>
                      <a:fillRect/>
                    </a:stretch>
                  </pic:blipFill>
                  <pic:spPr>
                    <a:xfrm>
                      <a:off x="0" y="0"/>
                      <a:ext cx="2876874" cy="2160000"/>
                    </a:xfrm>
                    <a:prstGeom prst="rect">
                      <a:avLst/>
                    </a:prstGeom>
                  </pic:spPr>
                </pic:pic>
              </a:graphicData>
            </a:graphic>
          </wp:inline>
        </w:drawing>
      </w:r>
    </w:p>
    <w:p w14:paraId="0C6B3B15" w14:textId="1511EA91" w:rsidR="000D52FA" w:rsidRDefault="000F3401" w:rsidP="000F3401">
      <w:pPr>
        <w:pStyle w:val="Caption"/>
        <w:jc w:val="left"/>
      </w:pPr>
      <w:r>
        <w:t xml:space="preserve"> </w:t>
      </w:r>
      <w:r w:rsidR="000D52FA">
        <w:t xml:space="preserve">Figure </w:t>
      </w:r>
      <w:r w:rsidR="006927C2">
        <w:t>5</w:t>
      </w:r>
      <w:r w:rsidR="000D52FA">
        <w:t xml:space="preserve"> Mobility failure percentage with 1 beam per RRH     Figure </w:t>
      </w:r>
      <w:r w:rsidR="006927C2">
        <w:t>6</w:t>
      </w:r>
      <w:r w:rsidR="000D52FA">
        <w:t xml:space="preserve"> Ping-pong handover rate with 1 beam per RRH</w:t>
      </w:r>
    </w:p>
    <w:p w14:paraId="74DDADC3" w14:textId="77777777" w:rsidR="000F3401" w:rsidRDefault="000F3401" w:rsidP="000F3401">
      <w:pPr>
        <w:keepNext/>
      </w:pPr>
      <w:r>
        <w:rPr>
          <w:noProof/>
        </w:rPr>
        <w:drawing>
          <wp:inline distT="0" distB="0" distL="0" distR="0" wp14:anchorId="11A0C787" wp14:editId="572BF842">
            <wp:extent cx="2876873"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9">
                      <a:extLst>
                        <a:ext uri="{28A0092B-C50C-407E-A947-70E740481C1C}">
                          <a14:useLocalDpi xmlns:a14="http://schemas.microsoft.com/office/drawing/2010/main" val="0"/>
                        </a:ext>
                      </a:extLst>
                    </a:blip>
                    <a:stretch>
                      <a:fillRect/>
                    </a:stretch>
                  </pic:blipFill>
                  <pic:spPr>
                    <a:xfrm>
                      <a:off x="0" y="0"/>
                      <a:ext cx="2876873" cy="2160000"/>
                    </a:xfrm>
                    <a:prstGeom prst="rect">
                      <a:avLst/>
                    </a:prstGeom>
                  </pic:spPr>
                </pic:pic>
              </a:graphicData>
            </a:graphic>
          </wp:inline>
        </w:drawing>
      </w:r>
      <w:r>
        <w:rPr>
          <w:noProof/>
        </w:rPr>
        <w:drawing>
          <wp:inline distT="0" distB="0" distL="0" distR="0" wp14:anchorId="71F45C6C" wp14:editId="44C694C7">
            <wp:extent cx="2876873"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20">
                      <a:extLst>
                        <a:ext uri="{28A0092B-C50C-407E-A947-70E740481C1C}">
                          <a14:useLocalDpi xmlns:a14="http://schemas.microsoft.com/office/drawing/2010/main" val="0"/>
                        </a:ext>
                      </a:extLst>
                    </a:blip>
                    <a:stretch>
                      <a:fillRect/>
                    </a:stretch>
                  </pic:blipFill>
                  <pic:spPr>
                    <a:xfrm>
                      <a:off x="0" y="0"/>
                      <a:ext cx="2876873" cy="2160000"/>
                    </a:xfrm>
                    <a:prstGeom prst="rect">
                      <a:avLst/>
                    </a:prstGeom>
                  </pic:spPr>
                </pic:pic>
              </a:graphicData>
            </a:graphic>
          </wp:inline>
        </w:drawing>
      </w:r>
    </w:p>
    <w:p w14:paraId="7E4705AE" w14:textId="740D03A7" w:rsidR="000F3401" w:rsidRDefault="000F3401" w:rsidP="000F3401">
      <w:pPr>
        <w:pStyle w:val="Caption"/>
        <w:jc w:val="left"/>
      </w:pPr>
      <w:r>
        <w:t>Figure 7 Mobility failure percentage with 2 beams per RRH    Figure 8 Ping-pong handover rate with 2 beams per RRH</w:t>
      </w:r>
    </w:p>
    <w:p w14:paraId="33D9B2EB" w14:textId="7D1F4DD8" w:rsidR="000F3401" w:rsidRPr="000F3401" w:rsidRDefault="000F3401" w:rsidP="000F3401"/>
    <w:p w14:paraId="5A9767FC" w14:textId="6F91F749" w:rsidR="00DD788A" w:rsidRPr="00DD788A" w:rsidRDefault="00DD788A" w:rsidP="00DD788A">
      <w:r>
        <w:t>Time-of-outage is a very comprehensive mobility performance metric as it combines the aspects of handover execution delays and bad channel conditions seen when radio link problems occur.</w:t>
      </w:r>
      <w:r w:rsidR="005D39CE">
        <w:t xml:space="preserve"> We can observe from Figure </w:t>
      </w:r>
      <w:r w:rsidR="005A2947">
        <w:t>9</w:t>
      </w:r>
      <w:r w:rsidR="005D39CE">
        <w:t xml:space="preserve"> that ISD 300 m with bi-directional RRHs has generally the highest time-of-outage rate, which is caused by the large number of handovers. Then we see completely opposite case as the second highest outage rate, ISD 650 m with </w:t>
      </w:r>
      <w:proofErr w:type="spellStart"/>
      <w:r w:rsidR="005D39CE">
        <w:t>uni</w:t>
      </w:r>
      <w:proofErr w:type="spellEnd"/>
      <w:r w:rsidR="005D39CE">
        <w:t xml:space="preserve">-directional RRHs. That case had the lowest number of handovers, </w:t>
      </w:r>
      <w:r w:rsidR="000C7EB0">
        <w:rPr>
          <w:lang w:val="en-150"/>
        </w:rPr>
        <w:t>even though the</w:t>
      </w:r>
      <w:r w:rsidR="005D39CE">
        <w:t xml:space="preserve"> coverage is the worst</w:t>
      </w:r>
      <w:r w:rsidR="000C7EB0">
        <w:rPr>
          <w:lang w:val="en-150"/>
        </w:rPr>
        <w:t xml:space="preserve">. Hence, </w:t>
      </w:r>
      <w:r w:rsidR="005D39CE">
        <w:t xml:space="preserve">some bad channel conditions can start to occur before handover is performed to the next </w:t>
      </w:r>
      <w:proofErr w:type="spellStart"/>
      <w:r w:rsidR="005D39CE">
        <w:t>gNB</w:t>
      </w:r>
      <w:proofErr w:type="spellEnd"/>
      <w:r w:rsidR="005D39CE">
        <w:t xml:space="preserve">. The best time-of-outage rate is seen in </w:t>
      </w:r>
      <w:proofErr w:type="spellStart"/>
      <w:r w:rsidR="005D39CE">
        <w:t>uni</w:t>
      </w:r>
      <w:proofErr w:type="spellEnd"/>
      <w:r w:rsidR="005D39CE">
        <w:t>-directional ISD 300 m case with good coverage, but rather low number of handovers. Note</w:t>
      </w:r>
      <w:r w:rsidR="000C7EB0">
        <w:rPr>
          <w:lang w:val="en-150"/>
        </w:rPr>
        <w:t>,</w:t>
      </w:r>
      <w:r w:rsidR="005D39CE">
        <w:t xml:space="preserve"> that the number of handovers and ping-pongs compared to failure rates could be optimized using handover settings to minimize time-of-outage in each case, but this has not been considered in these initial simulations.</w:t>
      </w:r>
    </w:p>
    <w:p w14:paraId="462533E4" w14:textId="6B3F9816" w:rsidR="00682DBC" w:rsidRPr="00DD788A" w:rsidRDefault="00682DBC" w:rsidP="00DD788A">
      <w:r>
        <w:t>Figure 10 shows the time-of-outages for cases with 2 beams per RRH.</w:t>
      </w:r>
      <w:r w:rsidR="00035BEA">
        <w:t xml:space="preserve"> We mainly observe that there is more time-of-outage for bi-directional case with ISD 300 compared to Figure 9. This is very probably cause</w:t>
      </w:r>
      <w:r w:rsidR="20673056">
        <w:t>d</w:t>
      </w:r>
      <w:r w:rsidR="00035BEA">
        <w:t xml:space="preserve"> by the high amount of ping-pong handovers in this case leading to a lot of handover execution delays. Different beam configurations may improve this situation and that is for further studies.</w:t>
      </w:r>
    </w:p>
    <w:p w14:paraId="5E86531B" w14:textId="77777777" w:rsidR="003F44E5" w:rsidRDefault="00C63887" w:rsidP="003F44E5">
      <w:pPr>
        <w:keepNext/>
        <w:jc w:val="center"/>
      </w:pPr>
      <w:r>
        <w:rPr>
          <w:noProof/>
        </w:rPr>
        <w:lastRenderedPageBreak/>
        <w:drawing>
          <wp:inline distT="0" distB="0" distL="0" distR="0" wp14:anchorId="51F17C71" wp14:editId="6C589FCC">
            <wp:extent cx="2972769" cy="223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1">
                      <a:extLst>
                        <a:ext uri="{28A0092B-C50C-407E-A947-70E740481C1C}">
                          <a14:useLocalDpi xmlns:a14="http://schemas.microsoft.com/office/drawing/2010/main" val="0"/>
                        </a:ext>
                      </a:extLst>
                    </a:blip>
                    <a:stretch>
                      <a:fillRect/>
                    </a:stretch>
                  </pic:blipFill>
                  <pic:spPr>
                    <a:xfrm>
                      <a:off x="0" y="0"/>
                      <a:ext cx="2972769" cy="2232000"/>
                    </a:xfrm>
                    <a:prstGeom prst="rect">
                      <a:avLst/>
                    </a:prstGeom>
                  </pic:spPr>
                </pic:pic>
              </a:graphicData>
            </a:graphic>
          </wp:inline>
        </w:drawing>
      </w:r>
    </w:p>
    <w:p w14:paraId="32CCB756" w14:textId="52813838" w:rsidR="00E071DD" w:rsidRPr="00E071DD" w:rsidRDefault="003F44E5" w:rsidP="003F44E5">
      <w:pPr>
        <w:pStyle w:val="Caption"/>
      </w:pPr>
      <w:r>
        <w:t xml:space="preserve">Figure </w:t>
      </w:r>
      <w:r w:rsidR="000F3401">
        <w:t>9</w:t>
      </w:r>
      <w:r>
        <w:t xml:space="preserve"> Time-of-outage per call with 1 beam per RRH</w:t>
      </w:r>
    </w:p>
    <w:p w14:paraId="1FA7B36F" w14:textId="77777777" w:rsidR="000F3401" w:rsidRDefault="000F3401" w:rsidP="000F3401">
      <w:pPr>
        <w:keepNext/>
        <w:jc w:val="center"/>
      </w:pPr>
      <w:r>
        <w:rPr>
          <w:noProof/>
        </w:rPr>
        <w:drawing>
          <wp:inline distT="0" distB="0" distL="0" distR="0" wp14:anchorId="0907FB52" wp14:editId="603F6B39">
            <wp:extent cx="2972769" cy="2232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2">
                      <a:extLst>
                        <a:ext uri="{28A0092B-C50C-407E-A947-70E740481C1C}">
                          <a14:useLocalDpi xmlns:a14="http://schemas.microsoft.com/office/drawing/2010/main" val="0"/>
                        </a:ext>
                      </a:extLst>
                    </a:blip>
                    <a:stretch>
                      <a:fillRect/>
                    </a:stretch>
                  </pic:blipFill>
                  <pic:spPr>
                    <a:xfrm>
                      <a:off x="0" y="0"/>
                      <a:ext cx="2972769" cy="2232000"/>
                    </a:xfrm>
                    <a:prstGeom prst="rect">
                      <a:avLst/>
                    </a:prstGeom>
                  </pic:spPr>
                </pic:pic>
              </a:graphicData>
            </a:graphic>
          </wp:inline>
        </w:drawing>
      </w:r>
    </w:p>
    <w:p w14:paraId="6ECC6D8D" w14:textId="6434B4C1" w:rsidR="000F3401" w:rsidRPr="000F3401" w:rsidRDefault="000F3401" w:rsidP="000F3401">
      <w:pPr>
        <w:pStyle w:val="Caption"/>
      </w:pPr>
      <w:r>
        <w:t>Figure 10 Time-of-outage per call with 2 beams per RRH</w:t>
      </w:r>
    </w:p>
    <w:p w14:paraId="55073497" w14:textId="4DC88F40" w:rsidR="008F2AE9" w:rsidRPr="008F2AE9" w:rsidRDefault="008F2AE9" w:rsidP="008F2AE9">
      <w:r>
        <w:t xml:space="preserve">As an </w:t>
      </w:r>
      <w:proofErr w:type="gramStart"/>
      <w:r>
        <w:t>additional statistics</w:t>
      </w:r>
      <w:proofErr w:type="gramEnd"/>
      <w:r>
        <w:t xml:space="preserve"> for 2 beams per RRH case Figure 11 shows the amount of intra-cell beam switches per </w:t>
      </w:r>
      <w:r w:rsidR="00A37DFB">
        <w:t>CPE</w:t>
      </w:r>
      <w:r>
        <w:t xml:space="preserve"> per second. The beam switch rate is heavily influenced by the ISD, because the setting is also different for </w:t>
      </w:r>
      <w:proofErr w:type="spellStart"/>
      <w:r>
        <w:t>D_min</w:t>
      </w:r>
      <w:proofErr w:type="spellEnd"/>
      <w:r>
        <w:t xml:space="preserve"> RRH distance to track, 10 meters for ISD 650 and 50 meters for ISD 300. In ISD 300 case we see multiple times higher beam switch rate. </w:t>
      </w:r>
      <w:proofErr w:type="gramStart"/>
      <w:r>
        <w:t>Also</w:t>
      </w:r>
      <w:proofErr w:type="gramEnd"/>
      <w:r>
        <w:t xml:space="preserve"> bi-directional setting causes more beam switches to occur.</w:t>
      </w:r>
      <w:r w:rsidR="004A3CBF">
        <w:t xml:space="preserve"> </w:t>
      </w:r>
      <w:r w:rsidR="004A26E6">
        <w:t xml:space="preserve">In ISD 650 case particularly with </w:t>
      </w:r>
      <w:proofErr w:type="spellStart"/>
      <w:r w:rsidR="004A26E6">
        <w:t>uni</w:t>
      </w:r>
      <w:proofErr w:type="spellEnd"/>
      <w:r w:rsidR="004A26E6">
        <w:t xml:space="preserve">-directional setting the beam switches are very rare in the used simulation conditions. This would show that only one beam is mainly used during the time of stay in RRH making multiple beams less beneficial than in ISD 300 case. </w:t>
      </w:r>
      <w:r w:rsidR="004A3CBF">
        <w:t>Note</w:t>
      </w:r>
      <w:r w:rsidR="000C7EB0">
        <w:rPr>
          <w:lang w:val="en-150"/>
        </w:rPr>
        <w:t>,</w:t>
      </w:r>
      <w:r w:rsidR="004A3CBF">
        <w:t xml:space="preserve"> tha</w:t>
      </w:r>
      <w:r w:rsidR="004A26E6">
        <w:t>t</w:t>
      </w:r>
      <w:r w:rsidR="004A3CBF">
        <w:t xml:space="preserve"> in these initial results we did not use beam failure detection modeling.</w:t>
      </w:r>
    </w:p>
    <w:p w14:paraId="09F2F1FF" w14:textId="77777777" w:rsidR="009775CF" w:rsidRDefault="003504C6" w:rsidP="009775CF">
      <w:pPr>
        <w:keepNext/>
        <w:jc w:val="center"/>
      </w:pPr>
      <w:r>
        <w:rPr>
          <w:noProof/>
        </w:rPr>
        <w:drawing>
          <wp:inline distT="0" distB="0" distL="0" distR="0" wp14:anchorId="5B611F13" wp14:editId="5AE6CF91">
            <wp:extent cx="2972769" cy="2232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3">
                      <a:extLst>
                        <a:ext uri="{28A0092B-C50C-407E-A947-70E740481C1C}">
                          <a14:useLocalDpi xmlns:a14="http://schemas.microsoft.com/office/drawing/2010/main" val="0"/>
                        </a:ext>
                      </a:extLst>
                    </a:blip>
                    <a:stretch>
                      <a:fillRect/>
                    </a:stretch>
                  </pic:blipFill>
                  <pic:spPr>
                    <a:xfrm>
                      <a:off x="0" y="0"/>
                      <a:ext cx="2972769" cy="2232000"/>
                    </a:xfrm>
                    <a:prstGeom prst="rect">
                      <a:avLst/>
                    </a:prstGeom>
                  </pic:spPr>
                </pic:pic>
              </a:graphicData>
            </a:graphic>
          </wp:inline>
        </w:drawing>
      </w:r>
    </w:p>
    <w:p w14:paraId="16FDD712" w14:textId="669D5DF2" w:rsidR="003504C6" w:rsidRPr="003504C6" w:rsidRDefault="009775CF" w:rsidP="009775CF">
      <w:pPr>
        <w:pStyle w:val="Caption"/>
      </w:pPr>
      <w:r>
        <w:t xml:space="preserve">Figure </w:t>
      </w:r>
      <w:r w:rsidR="00C64ECC">
        <w:t>11</w:t>
      </w:r>
      <w:r>
        <w:t xml:space="preserve"> Intra-cell beam</w:t>
      </w:r>
      <w:r>
        <w:rPr>
          <w:noProof/>
        </w:rPr>
        <w:t xml:space="preserve"> switch rate with 2 beams per RRH</w:t>
      </w:r>
    </w:p>
    <w:p w14:paraId="4AC2867F" w14:textId="3E6AF06F" w:rsidR="005B6717" w:rsidRPr="005B6717" w:rsidRDefault="00035BEA" w:rsidP="005B6717">
      <w:pPr>
        <w:pStyle w:val="RAN4observation0"/>
      </w:pPr>
      <w:r>
        <w:lastRenderedPageBreak/>
        <w:t xml:space="preserve">Without inter-cell interference </w:t>
      </w:r>
      <w:r w:rsidR="02E5D194" w:rsidRPr="1F581F56">
        <w:t xml:space="preserve">or DRX </w:t>
      </w:r>
      <w:r>
        <w:t>there are no significant problems observed in mobility as radio link failure and handover failure rates are very low</w:t>
      </w:r>
      <w:r w:rsidR="008A7079">
        <w:t>.</w:t>
      </w:r>
      <w:bookmarkStart w:id="0" w:name="_GoBack"/>
      <w:bookmarkEnd w:id="0"/>
    </w:p>
    <w:p w14:paraId="129D56D8" w14:textId="00BE0463" w:rsidR="00D966F2" w:rsidRDefault="005B6717" w:rsidP="005B6717">
      <w:pPr>
        <w:pStyle w:val="RAN4observation0"/>
      </w:pPr>
      <w:r>
        <w:t>Observation</w:t>
      </w:r>
      <w:r w:rsidR="00D966F2">
        <w:t xml:space="preserve"> 2: Bi-directional RRH deployment causes more handovers to occur than </w:t>
      </w:r>
      <w:proofErr w:type="spellStart"/>
      <w:r w:rsidR="00D966F2">
        <w:t>uni</w:t>
      </w:r>
      <w:proofErr w:type="spellEnd"/>
      <w:r w:rsidR="00D966F2">
        <w:t>-directional deployment</w:t>
      </w:r>
      <w:r w:rsidR="009535DB">
        <w:t xml:space="preserve"> leading into shorter time-of-stay in cell</w:t>
      </w:r>
      <w:r w:rsidR="008A7079">
        <w:t>.</w:t>
      </w:r>
    </w:p>
    <w:p w14:paraId="641A3103" w14:textId="1BCB4D64" w:rsidR="00D966F2" w:rsidRPr="00035BEA" w:rsidRDefault="00D966F2" w:rsidP="005B6717">
      <w:pPr>
        <w:pStyle w:val="RAN4observation0"/>
      </w:pPr>
      <w:r>
        <w:t>Observation 3: Multi-beam setting can be less beneficial in ISD 650 scenario where RRH distance to track is short (10 meters) compared to ISD 300 scenario with longer RRH distance to track (50 meters)</w:t>
      </w:r>
      <w:r w:rsidR="008A7079">
        <w:t>.</w:t>
      </w:r>
    </w:p>
    <w:p w14:paraId="6229BBC3" w14:textId="77777777" w:rsidR="002C2D19" w:rsidRDefault="002C2D19" w:rsidP="003B659E">
      <w:pPr>
        <w:ind w:right="-22"/>
        <w:rPr>
          <w:rFonts w:cs="Times New Roman"/>
        </w:rPr>
      </w:pPr>
    </w:p>
    <w:p w14:paraId="761516E1" w14:textId="351CE34B" w:rsidR="00CD7492" w:rsidRDefault="00CD7492" w:rsidP="00A37002">
      <w:pPr>
        <w:pStyle w:val="RAN4H1"/>
      </w:pPr>
      <w:r w:rsidRPr="003776CD">
        <w:t>Conclusion</w:t>
      </w:r>
    </w:p>
    <w:p w14:paraId="30488924" w14:textId="222C5B1A" w:rsidR="009F03F5" w:rsidRPr="00B23AF9" w:rsidRDefault="009F03F5" w:rsidP="00E7217A">
      <w:r>
        <w:rPr>
          <w:lang w:val="en-GB"/>
        </w:rPr>
        <w:t>In this paper we provided initial system</w:t>
      </w:r>
      <w:r w:rsidR="005B6717">
        <w:rPr>
          <w:lang w:val="en-150"/>
        </w:rPr>
        <w:t>-</w:t>
      </w:r>
      <w:r>
        <w:rPr>
          <w:lang w:val="en-GB"/>
        </w:rPr>
        <w:t xml:space="preserve">level mobility performance results for NR HST in FR2. While further simulation </w:t>
      </w:r>
      <w:r w:rsidR="00990FAF">
        <w:rPr>
          <w:lang w:val="en-GB"/>
        </w:rPr>
        <w:t>studies</w:t>
      </w:r>
      <w:r>
        <w:rPr>
          <w:lang w:val="en-GB"/>
        </w:rPr>
        <w:t xml:space="preserve"> are needed to draw final conclusions</w:t>
      </w:r>
      <w:r w:rsidR="000C7EB0">
        <w:rPr>
          <w:lang w:val="en-150"/>
        </w:rPr>
        <w:t>,</w:t>
      </w:r>
      <w:r>
        <w:rPr>
          <w:lang w:val="en-GB"/>
        </w:rPr>
        <w:t xml:space="preserve"> we can already observe the following:</w:t>
      </w:r>
    </w:p>
    <w:p w14:paraId="2C62615B" w14:textId="7916C259" w:rsidR="005B6717" w:rsidRDefault="009F03F5" w:rsidP="00D75E16">
      <w:pPr>
        <w:pStyle w:val="RAN4Observation"/>
        <w:numPr>
          <w:ilvl w:val="0"/>
          <w:numId w:val="22"/>
        </w:numPr>
        <w:rPr>
          <w:lang w:val="en-150"/>
        </w:rPr>
      </w:pPr>
      <w:r>
        <w:t>Without inter-cell interference and/or measurement relaxation there are no significant problems observed in mobility as radio link failure and handover failure rates are very low</w:t>
      </w:r>
      <w:r w:rsidR="005B6717" w:rsidRPr="005B6717">
        <w:rPr>
          <w:lang w:val="en-150"/>
        </w:rPr>
        <w:t>.</w:t>
      </w:r>
    </w:p>
    <w:p w14:paraId="792ADB19" w14:textId="77777777" w:rsidR="005B6717" w:rsidRPr="005B6717" w:rsidRDefault="005B6717" w:rsidP="005B6717">
      <w:pPr>
        <w:rPr>
          <w:lang w:val="en-150"/>
        </w:rPr>
      </w:pPr>
    </w:p>
    <w:p w14:paraId="384CE5C0" w14:textId="7C243734" w:rsidR="005B6717" w:rsidRDefault="009F03F5" w:rsidP="00AD3F54">
      <w:pPr>
        <w:pStyle w:val="RAN4Observation"/>
        <w:numPr>
          <w:ilvl w:val="0"/>
          <w:numId w:val="22"/>
        </w:numPr>
        <w:rPr>
          <w:lang w:val="en-150"/>
        </w:rPr>
      </w:pPr>
      <w:r>
        <w:t xml:space="preserve">Bi-directional RRH deployment causes more handovers to occur than </w:t>
      </w:r>
      <w:proofErr w:type="spellStart"/>
      <w:r>
        <w:t>uni</w:t>
      </w:r>
      <w:proofErr w:type="spellEnd"/>
      <w:r>
        <w:t>-directional deployment leading into shorter time-of-stay in cell</w:t>
      </w:r>
      <w:r w:rsidR="005B6717" w:rsidRPr="005B6717">
        <w:rPr>
          <w:lang w:val="en-150"/>
        </w:rPr>
        <w:t>.</w:t>
      </w:r>
    </w:p>
    <w:p w14:paraId="1466C01A" w14:textId="77777777" w:rsidR="005B6717" w:rsidRPr="005B6717" w:rsidRDefault="005B6717" w:rsidP="005B6717">
      <w:pPr>
        <w:rPr>
          <w:lang w:val="en-150"/>
        </w:rPr>
      </w:pPr>
    </w:p>
    <w:p w14:paraId="5D9D0A2A" w14:textId="2B174F60" w:rsidR="009F03F5" w:rsidRPr="005B6717" w:rsidRDefault="009F03F5" w:rsidP="00AD3F54">
      <w:pPr>
        <w:pStyle w:val="RAN4Observation"/>
        <w:numPr>
          <w:ilvl w:val="0"/>
          <w:numId w:val="22"/>
        </w:numPr>
        <w:rPr>
          <w:lang w:val="en-US"/>
        </w:rPr>
      </w:pPr>
      <w:r>
        <w:t>Multi-beam setting can be less beneficial in ISD 650 scenario where RRH distance to track is short (10 meters) compared to ISD 300 scenario with longer RRH distance to track (50 meters)</w:t>
      </w:r>
      <w:r w:rsidR="005B6717" w:rsidRPr="005B6717">
        <w:rPr>
          <w:lang w:val="en-150"/>
        </w:rPr>
        <w:t>.</w:t>
      </w:r>
    </w:p>
    <w:p w14:paraId="3DAFBD41" w14:textId="77777777" w:rsidR="003B659E" w:rsidRPr="0095295C" w:rsidRDefault="003B659E" w:rsidP="0008612A">
      <w:pPr>
        <w:pStyle w:val="RAN4H1"/>
      </w:pPr>
      <w:r w:rsidRPr="0095295C">
        <w:t>References</w:t>
      </w:r>
    </w:p>
    <w:p w14:paraId="7BF34BA9" w14:textId="638F6738" w:rsidR="00687FA0" w:rsidRPr="003776CD" w:rsidRDefault="003776CD" w:rsidP="00841BCD">
      <w:pPr>
        <w:ind w:right="-22"/>
        <w:rPr>
          <w:lang w:val="en-GB"/>
        </w:rPr>
      </w:pPr>
      <w:r>
        <w:rPr>
          <w:lang w:val="en-GB"/>
        </w:rPr>
        <w:t xml:space="preserve">[1] </w:t>
      </w:r>
      <w:r w:rsidRPr="003776CD">
        <w:rPr>
          <w:lang w:val="en-GB"/>
        </w:rPr>
        <w:t>RP-202037</w:t>
      </w:r>
      <w:r>
        <w:rPr>
          <w:lang w:val="en-GB"/>
        </w:rPr>
        <w:t xml:space="preserve">, </w:t>
      </w:r>
      <w:r w:rsidRPr="003776CD">
        <w:rPr>
          <w:lang w:val="en-GB"/>
        </w:rPr>
        <w:t>New WID on NR support for high speed train scenario in FR2</w:t>
      </w:r>
      <w:r>
        <w:rPr>
          <w:lang w:val="en-GB"/>
        </w:rPr>
        <w:t xml:space="preserve">, </w:t>
      </w:r>
      <w:r w:rsidRPr="003776CD">
        <w:rPr>
          <w:lang w:val="en-GB"/>
        </w:rPr>
        <w:t>Samsung, Nokia</w:t>
      </w:r>
      <w:r>
        <w:rPr>
          <w:lang w:val="en-GB"/>
        </w:rPr>
        <w:t xml:space="preserve">, </w:t>
      </w:r>
      <w:r w:rsidRPr="003776CD">
        <w:rPr>
          <w:lang w:val="en-GB"/>
        </w:rPr>
        <w:t xml:space="preserve">3GPP TSG-RAN Meeting #89-e, Electronic Meeting, 14th – 19th </w:t>
      </w:r>
      <w:proofErr w:type="gramStart"/>
      <w:r w:rsidRPr="003776CD">
        <w:rPr>
          <w:lang w:val="en-GB"/>
        </w:rPr>
        <w:t>Sep,</w:t>
      </w:r>
      <w:proofErr w:type="gramEnd"/>
      <w:r w:rsidRPr="003776CD">
        <w:rPr>
          <w:lang w:val="en-GB"/>
        </w:rPr>
        <w:t xml:space="preserve"> 2020.</w:t>
      </w:r>
    </w:p>
    <w:p w14:paraId="6345F64E" w14:textId="532733BD" w:rsidR="00FA2019" w:rsidRDefault="003776CD" w:rsidP="00841BCD">
      <w:pPr>
        <w:ind w:right="-22"/>
        <w:rPr>
          <w:rStyle w:val="normaltextrun"/>
          <w:color w:val="000000"/>
          <w:szCs w:val="20"/>
          <w:shd w:val="clear" w:color="auto" w:fill="FFFFFF"/>
        </w:rPr>
      </w:pPr>
      <w:r w:rsidRPr="003776CD">
        <w:rPr>
          <w:rStyle w:val="normaltextrun"/>
          <w:color w:val="000000"/>
          <w:szCs w:val="20"/>
          <w:shd w:val="clear" w:color="auto" w:fill="FFFFFF"/>
          <w:lang w:val="en-GB"/>
        </w:rPr>
        <w:t>[2] </w:t>
      </w:r>
      <w:r w:rsidRPr="003776CD">
        <w:rPr>
          <w:rStyle w:val="normaltextrun"/>
          <w:color w:val="000000"/>
          <w:szCs w:val="20"/>
          <w:shd w:val="clear" w:color="auto" w:fill="FFFFFF"/>
        </w:rPr>
        <w:t>R4-2017828, WF on NR support for HST in FR2, Samsung, 3GPP TSG-RAN WG4</w:t>
      </w:r>
      <w:r w:rsidRPr="003776CD">
        <w:rPr>
          <w:rStyle w:val="normaltextrun"/>
          <w:color w:val="000000"/>
          <w:szCs w:val="20"/>
          <w:shd w:val="clear" w:color="auto" w:fill="FFFFFF"/>
          <w:lang w:val="en-GB"/>
        </w:rPr>
        <w:t>#97</w:t>
      </w:r>
      <w:r w:rsidRPr="003776CD">
        <w:rPr>
          <w:rStyle w:val="normaltextrun"/>
          <w:color w:val="000000"/>
          <w:szCs w:val="20"/>
          <w:shd w:val="clear" w:color="auto" w:fill="FFFFFF"/>
        </w:rPr>
        <w:t>-e Meeting, </w:t>
      </w:r>
      <w:r w:rsidRPr="003776CD">
        <w:rPr>
          <w:rStyle w:val="normaltextrun"/>
          <w:color w:val="000000"/>
          <w:szCs w:val="20"/>
          <w:shd w:val="clear" w:color="auto" w:fill="FFFFFF"/>
          <w:lang w:val="en-GB"/>
        </w:rPr>
        <w:t>Electronic Meeting, 2</w:t>
      </w:r>
      <w:r w:rsidRPr="003776CD">
        <w:rPr>
          <w:rStyle w:val="normaltextrun"/>
          <w:color w:val="000000"/>
          <w:sz w:val="16"/>
          <w:szCs w:val="16"/>
          <w:shd w:val="clear" w:color="auto" w:fill="FFFFFF"/>
          <w:vertAlign w:val="superscript"/>
          <w:lang w:val="en-GB"/>
        </w:rPr>
        <w:t>nd</w:t>
      </w:r>
      <w:r w:rsidRPr="003776CD">
        <w:rPr>
          <w:rStyle w:val="normaltextrun"/>
          <w:color w:val="000000"/>
          <w:szCs w:val="20"/>
          <w:shd w:val="clear" w:color="auto" w:fill="FFFFFF"/>
          <w:lang w:val="en-GB"/>
        </w:rPr>
        <w:t> – 13</w:t>
      </w:r>
      <w:r w:rsidRPr="003776CD">
        <w:rPr>
          <w:rStyle w:val="normaltextrun"/>
          <w:color w:val="000000"/>
          <w:sz w:val="16"/>
          <w:szCs w:val="16"/>
          <w:shd w:val="clear" w:color="auto" w:fill="FFFFFF"/>
          <w:vertAlign w:val="superscript"/>
          <w:lang w:val="en-GB"/>
        </w:rPr>
        <w:t>th</w:t>
      </w:r>
      <w:r>
        <w:rPr>
          <w:rStyle w:val="normaltextrun"/>
          <w:color w:val="000000"/>
          <w:szCs w:val="20"/>
          <w:shd w:val="clear" w:color="auto" w:fill="FFFFFF"/>
          <w:lang w:val="en-GB"/>
        </w:rPr>
        <w:t xml:space="preserve"> Nov.</w:t>
      </w:r>
      <w:r w:rsidRPr="003776CD">
        <w:rPr>
          <w:rStyle w:val="normaltextrun"/>
          <w:color w:val="000000"/>
          <w:szCs w:val="20"/>
          <w:shd w:val="clear" w:color="auto" w:fill="FFFFFF"/>
          <w:lang w:val="en-GB"/>
        </w:rPr>
        <w:t> 2020</w:t>
      </w:r>
      <w:r w:rsidRPr="003776CD">
        <w:rPr>
          <w:rStyle w:val="normaltextrun"/>
          <w:color w:val="000000"/>
          <w:szCs w:val="20"/>
          <w:shd w:val="clear" w:color="auto" w:fill="FFFFFF"/>
        </w:rPr>
        <w:t>.</w:t>
      </w:r>
    </w:p>
    <w:p w14:paraId="0F77BFF7" w14:textId="3DEA74D5" w:rsidR="003776CD" w:rsidRPr="00B23AF9" w:rsidRDefault="00FA2019" w:rsidP="00841BCD">
      <w:pPr>
        <w:ind w:right="-22"/>
        <w:rPr>
          <w:szCs w:val="20"/>
          <w:lang w:val="en-GB"/>
        </w:rPr>
      </w:pPr>
      <w:r w:rsidRPr="00E7217A">
        <w:rPr>
          <w:szCs w:val="20"/>
          <w:lang w:eastAsia="zh-CN"/>
        </w:rPr>
        <w:t>[3] 3GPP TR 38.901 V16.1.0, Study on channel model for frequencies from 0.5 to 100 GHz (Release 16)</w:t>
      </w:r>
      <w:r w:rsidR="003776CD">
        <w:rPr>
          <w:rStyle w:val="normaltextrun"/>
          <w:color w:val="000000"/>
          <w:szCs w:val="20"/>
          <w:shd w:val="clear" w:color="auto" w:fill="FFFFFF"/>
        </w:rPr>
        <w:t>   </w:t>
      </w:r>
    </w:p>
    <w:sectPr w:rsidR="003776CD" w:rsidRPr="00B23AF9" w:rsidSect="00806A76">
      <w:pgSz w:w="11907" w:h="16840" w:code="9"/>
      <w:pgMar w:top="1412" w:right="1140" w:bottom="1140" w:left="1140" w:header="680"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AB48217" w16cex:dateUtc="2021-01-15T17:00:00Z"/>
  <w16cex:commentExtensible w16cex:durableId="5B773A12" w16cex:dateUtc="2021-01-15T17:01:00Z"/>
  <w16cex:commentExtensible w16cex:durableId="386F9A57" w16cex:dateUtc="2021-01-15T17:03:00Z"/>
  <w16cex:commentExtensible w16cex:durableId="047E9003" w16cex:dateUtc="2021-01-15T17: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649E1" w14:textId="77777777" w:rsidR="00F733F6" w:rsidRDefault="00F733F6" w:rsidP="00001C9B">
      <w:pPr>
        <w:spacing w:after="0" w:line="240" w:lineRule="auto"/>
      </w:pPr>
      <w:r>
        <w:separator/>
      </w:r>
    </w:p>
  </w:endnote>
  <w:endnote w:type="continuationSeparator" w:id="0">
    <w:p w14:paraId="5F44B7E4" w14:textId="77777777" w:rsidR="00F733F6" w:rsidRDefault="00F733F6" w:rsidP="00001C9B">
      <w:pPr>
        <w:spacing w:after="0" w:line="240" w:lineRule="auto"/>
      </w:pPr>
      <w:r>
        <w:continuationSeparator/>
      </w:r>
    </w:p>
  </w:endnote>
  <w:endnote w:type="continuationNotice" w:id="1">
    <w:p w14:paraId="0A00B0D8" w14:textId="77777777" w:rsidR="00147FE2" w:rsidRDefault="00147F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EADBA" w14:textId="77777777" w:rsidR="00F733F6" w:rsidRDefault="00F733F6" w:rsidP="00001C9B">
      <w:pPr>
        <w:spacing w:after="0" w:line="240" w:lineRule="auto"/>
      </w:pPr>
      <w:r>
        <w:separator/>
      </w:r>
    </w:p>
  </w:footnote>
  <w:footnote w:type="continuationSeparator" w:id="0">
    <w:p w14:paraId="347D66F7" w14:textId="77777777" w:rsidR="00F733F6" w:rsidRDefault="00F733F6" w:rsidP="00001C9B">
      <w:pPr>
        <w:spacing w:after="0" w:line="240" w:lineRule="auto"/>
      </w:pPr>
      <w:r>
        <w:continuationSeparator/>
      </w:r>
    </w:p>
  </w:footnote>
  <w:footnote w:type="continuationNotice" w:id="1">
    <w:p w14:paraId="464A234D" w14:textId="77777777" w:rsidR="00147FE2" w:rsidRDefault="00147F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59869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87B53"/>
    <w:multiLevelType w:val="multilevel"/>
    <w:tmpl w:val="38EAEDB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65C217B"/>
    <w:multiLevelType w:val="multilevel"/>
    <w:tmpl w:val="6A1C17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10"/>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8"/>
  </w:num>
  <w:num w:numId="22">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sDAzNjc0s7Q0NLZU0lEKTi0uzszPAykwrgUAGRMsAiwAAAA="/>
  </w:docVars>
  <w:rsids>
    <w:rsidRoot w:val="00841BCD"/>
    <w:rsid w:val="00001C9B"/>
    <w:rsid w:val="000132EC"/>
    <w:rsid w:val="0002312F"/>
    <w:rsid w:val="00035BEA"/>
    <w:rsid w:val="00066DCA"/>
    <w:rsid w:val="0008612A"/>
    <w:rsid w:val="000A4BBC"/>
    <w:rsid w:val="000A576C"/>
    <w:rsid w:val="000B0056"/>
    <w:rsid w:val="000B06F1"/>
    <w:rsid w:val="000B462B"/>
    <w:rsid w:val="000C1598"/>
    <w:rsid w:val="000C4470"/>
    <w:rsid w:val="000C7EB0"/>
    <w:rsid w:val="000D52FA"/>
    <w:rsid w:val="000F3401"/>
    <w:rsid w:val="0010671C"/>
    <w:rsid w:val="001175EB"/>
    <w:rsid w:val="00121DFF"/>
    <w:rsid w:val="00134D30"/>
    <w:rsid w:val="00135760"/>
    <w:rsid w:val="00141D43"/>
    <w:rsid w:val="00147FE2"/>
    <w:rsid w:val="00160527"/>
    <w:rsid w:val="00165FC4"/>
    <w:rsid w:val="001745F8"/>
    <w:rsid w:val="00176671"/>
    <w:rsid w:val="001838CF"/>
    <w:rsid w:val="00191971"/>
    <w:rsid w:val="001B757D"/>
    <w:rsid w:val="001C2F6D"/>
    <w:rsid w:val="001C30A0"/>
    <w:rsid w:val="001E30F6"/>
    <w:rsid w:val="001E7C01"/>
    <w:rsid w:val="00202C59"/>
    <w:rsid w:val="00204D9E"/>
    <w:rsid w:val="002161DD"/>
    <w:rsid w:val="0022166C"/>
    <w:rsid w:val="00235F5C"/>
    <w:rsid w:val="00263E06"/>
    <w:rsid w:val="002708BF"/>
    <w:rsid w:val="00295EAF"/>
    <w:rsid w:val="002B4922"/>
    <w:rsid w:val="002B5C89"/>
    <w:rsid w:val="002C2D19"/>
    <w:rsid w:val="002D10FA"/>
    <w:rsid w:val="002D4C55"/>
    <w:rsid w:val="00320EE6"/>
    <w:rsid w:val="003260CE"/>
    <w:rsid w:val="00330B39"/>
    <w:rsid w:val="003504C6"/>
    <w:rsid w:val="00363CF1"/>
    <w:rsid w:val="00370AE8"/>
    <w:rsid w:val="00376E8F"/>
    <w:rsid w:val="003776CD"/>
    <w:rsid w:val="003858A2"/>
    <w:rsid w:val="00385981"/>
    <w:rsid w:val="00393377"/>
    <w:rsid w:val="003A3C94"/>
    <w:rsid w:val="003B659E"/>
    <w:rsid w:val="003E0248"/>
    <w:rsid w:val="003F44E5"/>
    <w:rsid w:val="00417AA0"/>
    <w:rsid w:val="004228E3"/>
    <w:rsid w:val="004339E9"/>
    <w:rsid w:val="0043750A"/>
    <w:rsid w:val="00445154"/>
    <w:rsid w:val="00462670"/>
    <w:rsid w:val="00483904"/>
    <w:rsid w:val="00484B5E"/>
    <w:rsid w:val="00496647"/>
    <w:rsid w:val="004A26E6"/>
    <w:rsid w:val="004A3CBF"/>
    <w:rsid w:val="004B48F2"/>
    <w:rsid w:val="004B6310"/>
    <w:rsid w:val="004B7B4A"/>
    <w:rsid w:val="004E5E66"/>
    <w:rsid w:val="00503B4D"/>
    <w:rsid w:val="00504EE9"/>
    <w:rsid w:val="00521247"/>
    <w:rsid w:val="0052692F"/>
    <w:rsid w:val="005433E0"/>
    <w:rsid w:val="0054442C"/>
    <w:rsid w:val="005446C1"/>
    <w:rsid w:val="00550285"/>
    <w:rsid w:val="005519CE"/>
    <w:rsid w:val="00553D08"/>
    <w:rsid w:val="00560AD0"/>
    <w:rsid w:val="00565032"/>
    <w:rsid w:val="005668B4"/>
    <w:rsid w:val="00571154"/>
    <w:rsid w:val="00576874"/>
    <w:rsid w:val="00577E81"/>
    <w:rsid w:val="005836F8"/>
    <w:rsid w:val="005918FA"/>
    <w:rsid w:val="005A2947"/>
    <w:rsid w:val="005B39A5"/>
    <w:rsid w:val="005B6717"/>
    <w:rsid w:val="005D39CE"/>
    <w:rsid w:val="005E3125"/>
    <w:rsid w:val="005E57D1"/>
    <w:rsid w:val="005E61A8"/>
    <w:rsid w:val="005F6419"/>
    <w:rsid w:val="0061159E"/>
    <w:rsid w:val="00617400"/>
    <w:rsid w:val="00621FB3"/>
    <w:rsid w:val="006250C3"/>
    <w:rsid w:val="0066349C"/>
    <w:rsid w:val="0066377B"/>
    <w:rsid w:val="00664950"/>
    <w:rsid w:val="00671FDC"/>
    <w:rsid w:val="00673F2E"/>
    <w:rsid w:val="00682DBC"/>
    <w:rsid w:val="00683220"/>
    <w:rsid w:val="006845D2"/>
    <w:rsid w:val="00687FA0"/>
    <w:rsid w:val="00691319"/>
    <w:rsid w:val="006927C2"/>
    <w:rsid w:val="006A01F4"/>
    <w:rsid w:val="006B7010"/>
    <w:rsid w:val="006C27DA"/>
    <w:rsid w:val="006D787B"/>
    <w:rsid w:val="006F017E"/>
    <w:rsid w:val="00702DAC"/>
    <w:rsid w:val="007145FF"/>
    <w:rsid w:val="00721DEE"/>
    <w:rsid w:val="00751515"/>
    <w:rsid w:val="00767A95"/>
    <w:rsid w:val="00767C11"/>
    <w:rsid w:val="007740E5"/>
    <w:rsid w:val="007767FA"/>
    <w:rsid w:val="00781E1D"/>
    <w:rsid w:val="00785232"/>
    <w:rsid w:val="007C3E71"/>
    <w:rsid w:val="007C3ED0"/>
    <w:rsid w:val="007D16C8"/>
    <w:rsid w:val="007F213D"/>
    <w:rsid w:val="00806A76"/>
    <w:rsid w:val="00811C9D"/>
    <w:rsid w:val="00816C80"/>
    <w:rsid w:val="008265B4"/>
    <w:rsid w:val="00841BCD"/>
    <w:rsid w:val="008826C1"/>
    <w:rsid w:val="0089744C"/>
    <w:rsid w:val="008A7079"/>
    <w:rsid w:val="008B1775"/>
    <w:rsid w:val="008B4F61"/>
    <w:rsid w:val="008E266C"/>
    <w:rsid w:val="008F2AE9"/>
    <w:rsid w:val="008F6D04"/>
    <w:rsid w:val="009042BD"/>
    <w:rsid w:val="009065BA"/>
    <w:rsid w:val="00914D21"/>
    <w:rsid w:val="00925DEC"/>
    <w:rsid w:val="00930666"/>
    <w:rsid w:val="00947C6D"/>
    <w:rsid w:val="0095232D"/>
    <w:rsid w:val="009535DB"/>
    <w:rsid w:val="009557A8"/>
    <w:rsid w:val="00960EC2"/>
    <w:rsid w:val="00971F52"/>
    <w:rsid w:val="009775CF"/>
    <w:rsid w:val="00977E1D"/>
    <w:rsid w:val="0098285E"/>
    <w:rsid w:val="00984FDD"/>
    <w:rsid w:val="00990FAF"/>
    <w:rsid w:val="009B6A85"/>
    <w:rsid w:val="009C003D"/>
    <w:rsid w:val="009D0079"/>
    <w:rsid w:val="009D6F63"/>
    <w:rsid w:val="009F03F5"/>
    <w:rsid w:val="00A22185"/>
    <w:rsid w:val="00A22B78"/>
    <w:rsid w:val="00A25060"/>
    <w:rsid w:val="00A25AE5"/>
    <w:rsid w:val="00A37002"/>
    <w:rsid w:val="00A37DFB"/>
    <w:rsid w:val="00A43C30"/>
    <w:rsid w:val="00A4429B"/>
    <w:rsid w:val="00A5478E"/>
    <w:rsid w:val="00A608D1"/>
    <w:rsid w:val="00A704F9"/>
    <w:rsid w:val="00A75F4B"/>
    <w:rsid w:val="00AA1B0E"/>
    <w:rsid w:val="00AA1F2C"/>
    <w:rsid w:val="00AA71C0"/>
    <w:rsid w:val="00AB3C74"/>
    <w:rsid w:val="00AB60EF"/>
    <w:rsid w:val="00AC211E"/>
    <w:rsid w:val="00AC5CA7"/>
    <w:rsid w:val="00AD58AB"/>
    <w:rsid w:val="00AE56B1"/>
    <w:rsid w:val="00AF6A47"/>
    <w:rsid w:val="00B045CF"/>
    <w:rsid w:val="00B17046"/>
    <w:rsid w:val="00B21469"/>
    <w:rsid w:val="00B23AF9"/>
    <w:rsid w:val="00B40E2A"/>
    <w:rsid w:val="00B53157"/>
    <w:rsid w:val="00B73862"/>
    <w:rsid w:val="00B91889"/>
    <w:rsid w:val="00BA6900"/>
    <w:rsid w:val="00BA6E48"/>
    <w:rsid w:val="00BA724E"/>
    <w:rsid w:val="00BD1CA3"/>
    <w:rsid w:val="00BD4B10"/>
    <w:rsid w:val="00BF2218"/>
    <w:rsid w:val="00C0242E"/>
    <w:rsid w:val="00C17398"/>
    <w:rsid w:val="00C63887"/>
    <w:rsid w:val="00C64ECC"/>
    <w:rsid w:val="00C94120"/>
    <w:rsid w:val="00C95235"/>
    <w:rsid w:val="00CD40F6"/>
    <w:rsid w:val="00CD7492"/>
    <w:rsid w:val="00CE3A6B"/>
    <w:rsid w:val="00D00211"/>
    <w:rsid w:val="00D06309"/>
    <w:rsid w:val="00D27872"/>
    <w:rsid w:val="00D351EA"/>
    <w:rsid w:val="00D35F42"/>
    <w:rsid w:val="00D41BFA"/>
    <w:rsid w:val="00D420A0"/>
    <w:rsid w:val="00D43403"/>
    <w:rsid w:val="00D520E4"/>
    <w:rsid w:val="00D62E71"/>
    <w:rsid w:val="00D740CA"/>
    <w:rsid w:val="00D85728"/>
    <w:rsid w:val="00D931D4"/>
    <w:rsid w:val="00D966F2"/>
    <w:rsid w:val="00D97F4E"/>
    <w:rsid w:val="00DA2EF9"/>
    <w:rsid w:val="00DB1318"/>
    <w:rsid w:val="00DD360B"/>
    <w:rsid w:val="00DD555A"/>
    <w:rsid w:val="00DD788A"/>
    <w:rsid w:val="00DF2997"/>
    <w:rsid w:val="00E071DD"/>
    <w:rsid w:val="00E32BE8"/>
    <w:rsid w:val="00E4279A"/>
    <w:rsid w:val="00E45B5D"/>
    <w:rsid w:val="00E7217A"/>
    <w:rsid w:val="00E8258E"/>
    <w:rsid w:val="00E8454D"/>
    <w:rsid w:val="00E867BC"/>
    <w:rsid w:val="00EA17AC"/>
    <w:rsid w:val="00EA6AE7"/>
    <w:rsid w:val="00EC1CBA"/>
    <w:rsid w:val="00EC7BC3"/>
    <w:rsid w:val="00ED7600"/>
    <w:rsid w:val="00EE3082"/>
    <w:rsid w:val="00EE6E84"/>
    <w:rsid w:val="00EF2A70"/>
    <w:rsid w:val="00F05EBE"/>
    <w:rsid w:val="00F1362C"/>
    <w:rsid w:val="00F368E2"/>
    <w:rsid w:val="00F42A91"/>
    <w:rsid w:val="00F53E22"/>
    <w:rsid w:val="00F733F6"/>
    <w:rsid w:val="00F76908"/>
    <w:rsid w:val="00F824F5"/>
    <w:rsid w:val="00FA2019"/>
    <w:rsid w:val="00FA3FA5"/>
    <w:rsid w:val="00FB250D"/>
    <w:rsid w:val="00FB3ED6"/>
    <w:rsid w:val="00FC29B9"/>
    <w:rsid w:val="00FC663C"/>
    <w:rsid w:val="00FC6FD3"/>
    <w:rsid w:val="00FD011D"/>
    <w:rsid w:val="00FD27AA"/>
    <w:rsid w:val="00FD3A47"/>
    <w:rsid w:val="02E5D194"/>
    <w:rsid w:val="0C2339FB"/>
    <w:rsid w:val="117CBDE0"/>
    <w:rsid w:val="1F581F56"/>
    <w:rsid w:val="20673056"/>
    <w:rsid w:val="2C92969B"/>
    <w:rsid w:val="2CC4597A"/>
    <w:rsid w:val="40177ADB"/>
    <w:rsid w:val="591EF74C"/>
    <w:rsid w:val="5F3A3219"/>
    <w:rsid w:val="7543A6D7"/>
    <w:rsid w:val="759877D7"/>
    <w:rsid w:val="76EE3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customStyle="1" w:styleId="normaltextrun">
    <w:name w:val="normaltextrun"/>
    <w:basedOn w:val="DefaultParagraphFont"/>
    <w:rsid w:val="003776CD"/>
  </w:style>
  <w:style w:type="table" w:styleId="GridTable4-Accent3">
    <w:name w:val="Grid Table 4 Accent 3"/>
    <w:basedOn w:val="TableNormal"/>
    <w:uiPriority w:val="49"/>
    <w:rsid w:val="00FD27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3-Accent3">
    <w:name w:val="List Table 3 Accent 3"/>
    <w:basedOn w:val="TableNormal"/>
    <w:uiPriority w:val="48"/>
    <w:rsid w:val="00FD27AA"/>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GridTable6Colorful">
    <w:name w:val="Grid Table 6 Colorful"/>
    <w:basedOn w:val="TableNormal"/>
    <w:uiPriority w:val="51"/>
    <w:rsid w:val="00FD27AA"/>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FD27A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semiHidden/>
    <w:unhideWhenUsed/>
    <w:rsid w:val="00A5478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7FE2"/>
    <w:rPr>
      <w:rFonts w:ascii="Times New Roman" w:hAnsi="Times New Roman"/>
      <w:sz w:val="20"/>
    </w:rPr>
  </w:style>
  <w:style w:type="paragraph" w:styleId="Footer">
    <w:name w:val="footer"/>
    <w:basedOn w:val="Normal"/>
    <w:link w:val="FooterChar"/>
    <w:uiPriority w:val="99"/>
    <w:semiHidden/>
    <w:unhideWhenUsed/>
    <w:rsid w:val="00A5478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47FE2"/>
    <w:rPr>
      <w:rFonts w:ascii="Times New Roman" w:hAnsi="Times New Roman"/>
      <w:sz w:val="20"/>
    </w:rPr>
  </w:style>
  <w:style w:type="paragraph" w:styleId="CommentText">
    <w:name w:val="annotation text"/>
    <w:basedOn w:val="Normal"/>
    <w:link w:val="CommentTextChar"/>
    <w:uiPriority w:val="99"/>
    <w:semiHidden/>
    <w:unhideWhenUsed/>
    <w:rsid w:val="00FB250D"/>
    <w:pPr>
      <w:spacing w:line="240" w:lineRule="auto"/>
    </w:pPr>
    <w:rPr>
      <w:szCs w:val="20"/>
    </w:rPr>
  </w:style>
  <w:style w:type="character" w:customStyle="1" w:styleId="CommentTextChar">
    <w:name w:val="Comment Text Char"/>
    <w:basedOn w:val="DefaultParagraphFont"/>
    <w:link w:val="CommentText"/>
    <w:uiPriority w:val="99"/>
    <w:semiHidden/>
    <w:rsid w:val="00FB250D"/>
    <w:rPr>
      <w:rFonts w:ascii="Times New Roman" w:hAnsi="Times New Roman"/>
      <w:sz w:val="20"/>
      <w:szCs w:val="20"/>
    </w:rPr>
  </w:style>
  <w:style w:type="character" w:styleId="CommentReference">
    <w:name w:val="annotation reference"/>
    <w:basedOn w:val="DefaultParagraphFont"/>
    <w:uiPriority w:val="99"/>
    <w:semiHidden/>
    <w:unhideWhenUsed/>
    <w:rsid w:val="00FB250D"/>
    <w:rPr>
      <w:sz w:val="16"/>
      <w:szCs w:val="16"/>
    </w:rPr>
  </w:style>
  <w:style w:type="paragraph" w:styleId="CommentSubject">
    <w:name w:val="annotation subject"/>
    <w:basedOn w:val="CommentText"/>
    <w:next w:val="CommentText"/>
    <w:link w:val="CommentSubjectChar"/>
    <w:uiPriority w:val="99"/>
    <w:semiHidden/>
    <w:unhideWhenUsed/>
    <w:rsid w:val="005446C1"/>
    <w:rPr>
      <w:b/>
      <w:bCs/>
    </w:rPr>
  </w:style>
  <w:style w:type="character" w:customStyle="1" w:styleId="CommentSubjectChar">
    <w:name w:val="Comment Subject Char"/>
    <w:basedOn w:val="CommentTextChar"/>
    <w:link w:val="CommentSubject"/>
    <w:uiPriority w:val="99"/>
    <w:semiHidden/>
    <w:rsid w:val="005446C1"/>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5AIRPNAIUNRU-1328258698-1593</_dlc_DocId>
    <_dlc_DocIdUrl xmlns="71c5aaf6-e6ce-465b-b873-5148d2a4c105">
      <Url>https://nokia.sharepoint.com/sites/c5g/5gradio/_layouts/15/DocIdRedir.aspx?ID=5AIRPNAIUNRU-1328258698-1593</Url>
      <Description>5AIRPNAIUNRU-1328258698-1593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C4D18-5F1A-464C-968A-2A7491AFC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6E0628-1062-47B9-8690-34A0B2B6FB59}">
  <ds:schemaRefs>
    <ds:schemaRef ds:uri="Microsoft.SharePoint.Taxonomy.ContentTypeSync"/>
  </ds:schemaRefs>
</ds:datastoreItem>
</file>

<file path=customXml/itemProps3.xml><?xml version="1.0" encoding="utf-8"?>
<ds:datastoreItem xmlns:ds="http://schemas.openxmlformats.org/officeDocument/2006/customXml" ds:itemID="{B90E8ACE-5D00-49DB-B501-4FC006046111}">
  <ds:schemaRefs>
    <ds:schemaRef ds:uri="http://schemas.microsoft.com/sharepoint/events"/>
  </ds:schemaRefs>
</ds:datastoreItem>
</file>

<file path=customXml/itemProps4.xml><?xml version="1.0" encoding="utf-8"?>
<ds:datastoreItem xmlns:ds="http://schemas.openxmlformats.org/officeDocument/2006/customXml" ds:itemID="{74F49196-FA1E-4F3A-AF6C-F1961E23A094}">
  <ds:schemaRefs>
    <ds:schemaRef ds:uri="http://schemas.microsoft.com/sharepoint/v3/contenttype/forms"/>
  </ds:schemaRefs>
</ds:datastoreItem>
</file>

<file path=customXml/itemProps5.xml><?xml version="1.0" encoding="utf-8"?>
<ds:datastoreItem xmlns:ds="http://schemas.openxmlformats.org/officeDocument/2006/customXml" ds:itemID="{A9829053-5ECA-4020-ABE0-56E7568B7C67}">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purl.org/dc/elements/1.1/"/>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B754BB2-DC79-41C3-957F-93788ED30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Dmitry Petrov</cp:lastModifiedBy>
  <cp:revision>3</cp:revision>
  <dcterms:created xsi:type="dcterms:W3CDTF">2021-01-15T21:22:00Z</dcterms:created>
  <dcterms:modified xsi:type="dcterms:W3CDTF">2021-01-15T21:36:00Z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ba2c5cbc-9f81-406e-81c0-f5b1ab31b907</vt:lpwstr>
  </property>
</Properties>
</file>